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F78" w:rsidRDefault="00BD7F78" w:rsidP="00BD7F78">
      <w:pPr>
        <w:rPr>
          <w:rFonts w:asciiTheme="majorBidi" w:hAnsiTheme="majorBidi" w:cstheme="majorBidi"/>
          <w:sz w:val="24"/>
          <w:szCs w:val="24"/>
        </w:rPr>
      </w:pPr>
      <w:r>
        <w:rPr>
          <w:rFonts w:asciiTheme="majorBidi" w:hAnsiTheme="majorBidi" w:cstheme="majorBidi"/>
          <w:sz w:val="24"/>
          <w:szCs w:val="24"/>
        </w:rPr>
        <w:t xml:space="preserve">Sheet </w:t>
      </w:r>
      <w:proofErr w:type="gramStart"/>
      <w:r>
        <w:rPr>
          <w:rFonts w:asciiTheme="majorBidi" w:hAnsiTheme="majorBidi" w:cstheme="majorBidi"/>
          <w:sz w:val="24"/>
          <w:szCs w:val="24"/>
        </w:rPr>
        <w:t>no :10</w:t>
      </w:r>
      <w:proofErr w:type="gramEnd"/>
      <w:r>
        <w:rPr>
          <w:rFonts w:asciiTheme="majorBidi" w:hAnsiTheme="majorBidi" w:cstheme="majorBidi"/>
          <w:sz w:val="24"/>
          <w:szCs w:val="24"/>
        </w:rPr>
        <w:tab/>
      </w:r>
    </w:p>
    <w:p w:rsidR="00BD7F78" w:rsidRDefault="00BD7F78" w:rsidP="00BD7F78">
      <w:pPr>
        <w:rPr>
          <w:rFonts w:asciiTheme="majorBidi" w:hAnsiTheme="majorBidi" w:cstheme="majorBidi"/>
          <w:sz w:val="24"/>
          <w:szCs w:val="24"/>
        </w:rPr>
      </w:pPr>
      <w:r>
        <w:rPr>
          <w:rFonts w:asciiTheme="majorBidi" w:hAnsiTheme="majorBidi" w:cstheme="majorBidi"/>
          <w:sz w:val="24"/>
          <w:szCs w:val="24"/>
        </w:rPr>
        <w:t xml:space="preserve">Refer to slide </w:t>
      </w:r>
      <w:proofErr w:type="gramStart"/>
      <w:r>
        <w:rPr>
          <w:rFonts w:asciiTheme="majorBidi" w:hAnsiTheme="majorBidi" w:cstheme="majorBidi"/>
          <w:sz w:val="24"/>
          <w:szCs w:val="24"/>
        </w:rPr>
        <w:t>no :</w:t>
      </w:r>
      <w:proofErr w:type="gramEnd"/>
      <w:r>
        <w:rPr>
          <w:rFonts w:asciiTheme="majorBidi" w:hAnsiTheme="majorBidi" w:cstheme="majorBidi"/>
          <w:sz w:val="24"/>
          <w:szCs w:val="24"/>
        </w:rPr>
        <w:t xml:space="preserve"> 10</w:t>
      </w:r>
    </w:p>
    <w:p w:rsidR="00BD7F78" w:rsidRDefault="00BD7F78" w:rsidP="00BD7F78">
      <w:pPr>
        <w:rPr>
          <w:rFonts w:asciiTheme="majorBidi" w:hAnsiTheme="majorBidi" w:cstheme="majorBidi"/>
          <w:color w:val="000000" w:themeColor="text1"/>
          <w:sz w:val="24"/>
          <w:szCs w:val="24"/>
        </w:rPr>
      </w:pPr>
      <w:r>
        <w:rPr>
          <w:rFonts w:asciiTheme="majorBidi" w:hAnsiTheme="majorBidi" w:cstheme="majorBidi"/>
          <w:sz w:val="24"/>
          <w:szCs w:val="24"/>
        </w:rPr>
        <w:t xml:space="preserve">Written </w:t>
      </w:r>
      <w:proofErr w:type="gramStart"/>
      <w:r>
        <w:rPr>
          <w:rFonts w:asciiTheme="majorBidi" w:hAnsiTheme="majorBidi" w:cstheme="majorBidi"/>
          <w:sz w:val="24"/>
          <w:szCs w:val="24"/>
        </w:rPr>
        <w:t>by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Mahmoud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Qaisi</w:t>
      </w:r>
      <w:proofErr w:type="spellEnd"/>
      <w:r>
        <w:rPr>
          <w:rFonts w:asciiTheme="majorBidi" w:hAnsiTheme="majorBidi" w:cstheme="majorBidi"/>
          <w:sz w:val="24"/>
          <w:szCs w:val="24"/>
        </w:rPr>
        <w:br/>
        <w:t xml:space="preserve"> corrected by </w:t>
      </w:r>
      <w:proofErr w:type="spellStart"/>
      <w:r>
        <w:rPr>
          <w:rFonts w:asciiTheme="majorBidi" w:hAnsiTheme="majorBidi" w:cstheme="majorBidi"/>
          <w:sz w:val="24"/>
          <w:szCs w:val="24"/>
        </w:rPr>
        <w:t>Sahem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Jamaen</w:t>
      </w:r>
      <w:proofErr w:type="spellEnd"/>
      <w:r>
        <w:rPr>
          <w:rFonts w:asciiTheme="majorBidi" w:hAnsiTheme="majorBidi" w:cstheme="majorBidi"/>
          <w:sz w:val="24"/>
          <w:szCs w:val="24"/>
        </w:rPr>
        <w:t xml:space="preserve"> </w:t>
      </w:r>
    </w:p>
    <w:p w:rsidR="00BD7F78" w:rsidRDefault="00BD7F78" w:rsidP="00BD7F78">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
    <w:p w:rsidR="00BD7F78" w:rsidRDefault="00BD7F78" w:rsidP="006F1DBE"/>
    <w:p w:rsidR="007A4AC5" w:rsidRPr="00BD7F78" w:rsidRDefault="0012304D" w:rsidP="006F1DBE">
      <w:pPr>
        <w:rPr>
          <w:rFonts w:asciiTheme="majorBidi" w:hAnsiTheme="majorBidi" w:cstheme="majorBidi"/>
          <w:sz w:val="28"/>
          <w:szCs w:val="28"/>
        </w:rPr>
      </w:pPr>
      <w:r w:rsidRPr="00BD7F78">
        <w:rPr>
          <w:rFonts w:asciiTheme="majorBidi" w:hAnsiTheme="majorBidi" w:cstheme="majorBidi"/>
          <w:sz w:val="28"/>
          <w:szCs w:val="28"/>
        </w:rPr>
        <w:t xml:space="preserve">Cell growth happens when </w:t>
      </w:r>
      <w:r w:rsidR="00DE4258" w:rsidRPr="00BD7F78">
        <w:rPr>
          <w:rFonts w:asciiTheme="majorBidi" w:hAnsiTheme="majorBidi" w:cstheme="majorBidi"/>
          <w:sz w:val="28"/>
          <w:szCs w:val="28"/>
        </w:rPr>
        <w:t xml:space="preserve">a molecule “growth factor” has a receptor on the cell membrane then this receptor will activate </w:t>
      </w:r>
      <w:proofErr w:type="spellStart"/>
      <w:r w:rsidR="00DE4258" w:rsidRPr="00BD7F78">
        <w:rPr>
          <w:rFonts w:asciiTheme="majorBidi" w:hAnsiTheme="majorBidi" w:cstheme="majorBidi"/>
          <w:sz w:val="28"/>
          <w:szCs w:val="28"/>
        </w:rPr>
        <w:t>kinases</w:t>
      </w:r>
      <w:proofErr w:type="spellEnd"/>
      <w:r w:rsidR="00DE4258" w:rsidRPr="00BD7F78">
        <w:rPr>
          <w:rFonts w:asciiTheme="majorBidi" w:hAnsiTheme="majorBidi" w:cstheme="majorBidi"/>
          <w:sz w:val="28"/>
          <w:szCs w:val="28"/>
        </w:rPr>
        <w:t xml:space="preserve"> reactions on the cell membrane, which then activate signals in the cytoplasm which will result either in the production of metabolic enzymes, </w:t>
      </w:r>
      <w:proofErr w:type="gramStart"/>
      <w:r w:rsidR="00DE4258" w:rsidRPr="00BD7F78">
        <w:rPr>
          <w:rFonts w:asciiTheme="majorBidi" w:hAnsiTheme="majorBidi" w:cstheme="majorBidi"/>
          <w:sz w:val="28"/>
          <w:szCs w:val="28"/>
        </w:rPr>
        <w:t>or  certain</w:t>
      </w:r>
      <w:proofErr w:type="gramEnd"/>
      <w:r w:rsidR="00DE4258" w:rsidRPr="00BD7F78">
        <w:rPr>
          <w:rFonts w:asciiTheme="majorBidi" w:hAnsiTheme="majorBidi" w:cstheme="majorBidi"/>
          <w:sz w:val="28"/>
          <w:szCs w:val="28"/>
        </w:rPr>
        <w:t xml:space="preserve"> proteins, or “2A gene regulation protein” , or cellular proteins which determine the cell’s structure and the shape of the cell.</w:t>
      </w:r>
      <w:r w:rsidR="00DE4258" w:rsidRPr="00BD7F78">
        <w:rPr>
          <w:rFonts w:asciiTheme="majorBidi" w:hAnsiTheme="majorBidi" w:cstheme="majorBidi"/>
          <w:sz w:val="28"/>
          <w:szCs w:val="28"/>
        </w:rPr>
        <w:br/>
        <w:t>The cells are programmed to develop, grow, differentiate, and die “this is normal”.</w:t>
      </w:r>
      <w:r w:rsidR="00DE4258" w:rsidRPr="00BD7F78">
        <w:rPr>
          <w:rFonts w:asciiTheme="majorBidi" w:hAnsiTheme="majorBidi" w:cstheme="majorBidi"/>
          <w:sz w:val="28"/>
          <w:szCs w:val="28"/>
        </w:rPr>
        <w:br/>
        <w:t xml:space="preserve">So there is a series of signals to determine the cell’s life, if there is any problem “mutation” in this series, normally the cell will go through apoptosis to stop this mutation, but if the apoptosis isn’t functioning then the cell </w:t>
      </w:r>
      <w:r w:rsidR="00535175" w:rsidRPr="00BD7F78">
        <w:rPr>
          <w:rFonts w:asciiTheme="majorBidi" w:hAnsiTheme="majorBidi" w:cstheme="majorBidi"/>
          <w:sz w:val="28"/>
          <w:szCs w:val="28"/>
        </w:rPr>
        <w:t>will keep growing and dividing producing a tumor in the body.</w:t>
      </w:r>
      <w:r w:rsidR="00535175" w:rsidRPr="00BD7F78">
        <w:rPr>
          <w:rFonts w:asciiTheme="majorBidi" w:hAnsiTheme="majorBidi" w:cstheme="majorBidi"/>
          <w:sz w:val="28"/>
          <w:szCs w:val="28"/>
        </w:rPr>
        <w:br/>
        <w:t>Growth factor: these are chemicals produced by certain cells and affecting other cells “like hormones”.</w:t>
      </w:r>
      <w:r w:rsidR="00535175" w:rsidRPr="00BD7F78">
        <w:rPr>
          <w:rFonts w:asciiTheme="majorBidi" w:hAnsiTheme="majorBidi" w:cstheme="majorBidi"/>
          <w:sz w:val="28"/>
          <w:szCs w:val="28"/>
        </w:rPr>
        <w:br/>
      </w:r>
      <w:r w:rsidR="00535175" w:rsidRPr="00BD7F78">
        <w:rPr>
          <w:rFonts w:asciiTheme="majorBidi" w:hAnsiTheme="majorBidi" w:cstheme="majorBidi"/>
          <w:sz w:val="28"/>
          <w:szCs w:val="28"/>
        </w:rPr>
        <w:br/>
      </w:r>
      <w:r w:rsidR="00535175" w:rsidRPr="00BD7F78">
        <w:rPr>
          <w:rFonts w:asciiTheme="majorBidi" w:hAnsiTheme="majorBidi" w:cstheme="majorBidi"/>
          <w:noProof/>
          <w:sz w:val="28"/>
          <w:szCs w:val="28"/>
        </w:rPr>
        <w:drawing>
          <wp:inline distT="0" distB="0" distL="0" distR="0">
            <wp:extent cx="3705225" cy="259080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45438" cy="6553200"/>
                      <a:chOff x="762000" y="228600"/>
                      <a:chExt cx="7945438" cy="6553200"/>
                    </a:xfrm>
                  </a:grpSpPr>
                  <a:sp>
                    <a:nvSpPr>
                      <a:cNvPr id="14338" name="Rectangle 1026"/>
                      <a:cNvSpPr>
                        <a:spLocks noGrp="1" noChangeArrowheads="1"/>
                      </a:cNvSpPr>
                    </a:nvSpPr>
                    <a:spPr bwMode="auto">
                      <a:xfrm>
                        <a:off x="914400" y="228600"/>
                        <a:ext cx="7793038"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3600" b="1">
                              <a:solidFill>
                                <a:schemeClr val="tx2"/>
                              </a:solidFill>
                              <a:latin typeface="+mj-lt"/>
                              <a:ea typeface="ＭＳ Ｐゴシック" charset="-128"/>
                              <a:cs typeface="+mj-cs"/>
                            </a:defRPr>
                          </a:lvl1pPr>
                          <a:lvl2pPr algn="ctr" rtl="0" eaLnBrk="0" fontAlgn="base" hangingPunct="0">
                            <a:spcBef>
                              <a:spcPct val="0"/>
                            </a:spcBef>
                            <a:spcAft>
                              <a:spcPct val="0"/>
                            </a:spcAft>
                            <a:defRPr sz="3600" b="1">
                              <a:solidFill>
                                <a:schemeClr val="tx2"/>
                              </a:solidFill>
                              <a:latin typeface="Arial" charset="0"/>
                              <a:ea typeface="ＭＳ Ｐゴシック" charset="-128"/>
                            </a:defRPr>
                          </a:lvl2pPr>
                          <a:lvl3pPr algn="ctr" rtl="0" eaLnBrk="0" fontAlgn="base" hangingPunct="0">
                            <a:spcBef>
                              <a:spcPct val="0"/>
                            </a:spcBef>
                            <a:spcAft>
                              <a:spcPct val="0"/>
                            </a:spcAft>
                            <a:defRPr sz="3600" b="1">
                              <a:solidFill>
                                <a:schemeClr val="tx2"/>
                              </a:solidFill>
                              <a:latin typeface="Arial" charset="0"/>
                              <a:ea typeface="ＭＳ Ｐゴシック" charset="-128"/>
                            </a:defRPr>
                          </a:lvl3pPr>
                          <a:lvl4pPr algn="ctr" rtl="0" eaLnBrk="0" fontAlgn="base" hangingPunct="0">
                            <a:spcBef>
                              <a:spcPct val="0"/>
                            </a:spcBef>
                            <a:spcAft>
                              <a:spcPct val="0"/>
                            </a:spcAft>
                            <a:defRPr sz="3600" b="1">
                              <a:solidFill>
                                <a:schemeClr val="tx2"/>
                              </a:solidFill>
                              <a:latin typeface="Arial" charset="0"/>
                              <a:ea typeface="ＭＳ Ｐゴシック" charset="-128"/>
                            </a:defRPr>
                          </a:lvl4pPr>
                          <a:lvl5pPr algn="ctr" rtl="0" eaLnBrk="0" fontAlgn="base" hangingPunct="0">
                            <a:spcBef>
                              <a:spcPct val="0"/>
                            </a:spcBef>
                            <a:spcAft>
                              <a:spcPct val="0"/>
                            </a:spcAft>
                            <a:defRPr sz="3600" b="1">
                              <a:solidFill>
                                <a:schemeClr val="tx2"/>
                              </a:solidFill>
                              <a:latin typeface="Arial" charset="0"/>
                              <a:ea typeface="ＭＳ Ｐゴシック" charset="-128"/>
                            </a:defRPr>
                          </a:lvl5pPr>
                          <a:lvl6pPr marL="457200" algn="ctr" rtl="0" fontAlgn="base">
                            <a:spcBef>
                              <a:spcPct val="0"/>
                            </a:spcBef>
                            <a:spcAft>
                              <a:spcPct val="0"/>
                            </a:spcAft>
                            <a:defRPr sz="3600" b="1">
                              <a:solidFill>
                                <a:schemeClr val="tx2"/>
                              </a:solidFill>
                              <a:latin typeface="Arial" charset="0"/>
                            </a:defRPr>
                          </a:lvl6pPr>
                          <a:lvl7pPr marL="914400" algn="ctr" rtl="0" fontAlgn="base">
                            <a:spcBef>
                              <a:spcPct val="0"/>
                            </a:spcBef>
                            <a:spcAft>
                              <a:spcPct val="0"/>
                            </a:spcAft>
                            <a:defRPr sz="3600" b="1">
                              <a:solidFill>
                                <a:schemeClr val="tx2"/>
                              </a:solidFill>
                              <a:latin typeface="Arial" charset="0"/>
                            </a:defRPr>
                          </a:lvl7pPr>
                          <a:lvl8pPr marL="1371600" algn="ctr" rtl="0" fontAlgn="base">
                            <a:spcBef>
                              <a:spcPct val="0"/>
                            </a:spcBef>
                            <a:spcAft>
                              <a:spcPct val="0"/>
                            </a:spcAft>
                            <a:defRPr sz="3600" b="1">
                              <a:solidFill>
                                <a:schemeClr val="tx2"/>
                              </a:solidFill>
                              <a:latin typeface="Arial" charset="0"/>
                            </a:defRPr>
                          </a:lvl8pPr>
                          <a:lvl9pPr marL="1828800" algn="ctr" rtl="0" fontAlgn="base">
                            <a:spcBef>
                              <a:spcPct val="0"/>
                            </a:spcBef>
                            <a:spcAft>
                              <a:spcPct val="0"/>
                            </a:spcAft>
                            <a:defRPr sz="3600" b="1">
                              <a:solidFill>
                                <a:schemeClr val="tx2"/>
                              </a:solidFill>
                              <a:latin typeface="Arial" charset="0"/>
                            </a:defRPr>
                          </a:lvl9pPr>
                        </a:lstStyle>
                        <a:p>
                          <a:r>
                            <a:rPr lang="en-US" sz="4000" b="0" smtClean="0">
                              <a:solidFill>
                                <a:srgbClr val="0033CC"/>
                              </a:solidFill>
                              <a:latin typeface="Arial Rounded MT Bold" pitchFamily="34" charset="0"/>
                              <a:ea typeface="ＭＳ Ｐゴシック" pitchFamily="34" charset="-128"/>
                            </a:rPr>
                            <a:t>Types of Growth Factors</a:t>
                          </a:r>
                          <a:br>
                            <a:rPr lang="en-US" sz="4000" b="0" smtClean="0">
                              <a:solidFill>
                                <a:srgbClr val="0033CC"/>
                              </a:solidFill>
                              <a:latin typeface="Arial Rounded MT Bold" pitchFamily="34" charset="0"/>
                              <a:ea typeface="ＭＳ Ｐゴシック" pitchFamily="34" charset="-128"/>
                            </a:rPr>
                          </a:br>
                          <a:r>
                            <a:rPr lang="en-US" sz="4000" b="0" smtClean="0">
                              <a:solidFill>
                                <a:srgbClr val="0033CC"/>
                              </a:solidFill>
                              <a:latin typeface="Arial Rounded MT Bold" pitchFamily="34" charset="0"/>
                              <a:ea typeface="ＭＳ Ｐゴシック" pitchFamily="34" charset="-128"/>
                            </a:rPr>
                            <a:t>for Differentiation</a:t>
                          </a:r>
                        </a:p>
                      </a:txBody>
                      <a:useSpRect/>
                    </a:txSp>
                  </a:sp>
                  <a:pic>
                    <a:nvPicPr>
                      <a:cNvPr id="14339" name="Picture 1027" descr="5"/>
                      <a:cNvPicPr>
                        <a:picLocks noChangeAspect="1" noChangeArrowheads="1"/>
                      </a:cNvPicPr>
                    </a:nvPicPr>
                    <a:blipFill>
                      <a:blip r:embed="rId4"/>
                      <a:srcRect/>
                      <a:stretch>
                        <a:fillRect/>
                      </a:stretch>
                    </a:blipFill>
                    <a:spPr bwMode="auto">
                      <a:xfrm>
                        <a:off x="762000" y="1524000"/>
                        <a:ext cx="7816850" cy="5257800"/>
                      </a:xfrm>
                      <a:prstGeom prst="rect">
                        <a:avLst/>
                      </a:prstGeom>
                      <a:noFill/>
                      <a:ln w="9525">
                        <a:noFill/>
                        <a:miter lim="800000"/>
                        <a:headEnd/>
                        <a:tailEnd/>
                      </a:ln>
                    </a:spPr>
                  </a:pic>
                </lc:lockedCanvas>
              </a:graphicData>
            </a:graphic>
          </wp:inline>
        </w:drawing>
      </w:r>
      <w:r w:rsidR="00535175" w:rsidRPr="00BD7F78">
        <w:rPr>
          <w:rFonts w:asciiTheme="majorBidi" w:hAnsiTheme="majorBidi" w:cstheme="majorBidi"/>
          <w:sz w:val="28"/>
          <w:szCs w:val="28"/>
        </w:rPr>
        <w:br/>
      </w:r>
      <w:r w:rsidR="00535175" w:rsidRPr="00BD7F78">
        <w:rPr>
          <w:rFonts w:asciiTheme="majorBidi" w:hAnsiTheme="majorBidi" w:cstheme="majorBidi"/>
          <w:sz w:val="28"/>
          <w:szCs w:val="28"/>
        </w:rPr>
        <w:br/>
        <w:t>If there is something abnormal, then the cell’s function will be inhibited.</w:t>
      </w:r>
      <w:r w:rsidR="00535175" w:rsidRPr="00BD7F78">
        <w:rPr>
          <w:rFonts w:asciiTheme="majorBidi" w:hAnsiTheme="majorBidi" w:cstheme="majorBidi"/>
          <w:sz w:val="28"/>
          <w:szCs w:val="28"/>
        </w:rPr>
        <w:br/>
      </w:r>
      <w:r w:rsidR="00535175" w:rsidRPr="00BD7F78">
        <w:rPr>
          <w:rFonts w:asciiTheme="majorBidi" w:hAnsiTheme="majorBidi" w:cstheme="majorBidi"/>
          <w:sz w:val="28"/>
          <w:szCs w:val="28"/>
        </w:rPr>
        <w:lastRenderedPageBreak/>
        <w:br/>
        <w:t xml:space="preserve">As have been discussed earlier the cell’s division is controlled by many check points “G1, S G2, mitosis”. When going from G1 to S phase if the tumor suppressor gene and the </w:t>
      </w:r>
      <w:proofErr w:type="spellStart"/>
      <w:r w:rsidR="00535175" w:rsidRPr="00BD7F78">
        <w:rPr>
          <w:rFonts w:asciiTheme="majorBidi" w:hAnsiTheme="majorBidi" w:cstheme="majorBidi"/>
          <w:sz w:val="28"/>
          <w:szCs w:val="28"/>
        </w:rPr>
        <w:t>oncogene</w:t>
      </w:r>
      <w:proofErr w:type="spellEnd"/>
      <w:r w:rsidR="00535175" w:rsidRPr="00BD7F78">
        <w:rPr>
          <w:rFonts w:asciiTheme="majorBidi" w:hAnsiTheme="majorBidi" w:cstheme="majorBidi"/>
          <w:sz w:val="28"/>
          <w:szCs w:val="28"/>
        </w:rPr>
        <w:t xml:space="preserve"> re normal then the division will proceed, but if there is mutation in them, a tumor will result.</w:t>
      </w:r>
      <w:r w:rsidR="00535175" w:rsidRPr="00BD7F78">
        <w:rPr>
          <w:rFonts w:asciiTheme="majorBidi" w:hAnsiTheme="majorBidi" w:cstheme="majorBidi"/>
          <w:sz w:val="28"/>
          <w:szCs w:val="28"/>
        </w:rPr>
        <w:br/>
        <w:t>In the S phase the tumor suppressor genes will try to stop the growth but if they fail a tumor will result.</w:t>
      </w:r>
      <w:r w:rsidR="00535175" w:rsidRPr="00BD7F78">
        <w:rPr>
          <w:rFonts w:asciiTheme="majorBidi" w:hAnsiTheme="majorBidi" w:cstheme="majorBidi"/>
          <w:sz w:val="28"/>
          <w:szCs w:val="28"/>
        </w:rPr>
        <w:br/>
      </w:r>
      <w:r w:rsidR="00535175" w:rsidRPr="00BD7F78">
        <w:rPr>
          <w:rFonts w:asciiTheme="majorBidi" w:hAnsiTheme="majorBidi" w:cstheme="majorBidi"/>
          <w:sz w:val="28"/>
          <w:szCs w:val="28"/>
        </w:rPr>
        <w:br/>
        <w:t xml:space="preserve">The mutation can happen in: </w:t>
      </w:r>
      <w:r w:rsidR="00535175" w:rsidRPr="00BD7F78">
        <w:rPr>
          <w:rFonts w:asciiTheme="majorBidi" w:hAnsiTheme="majorBidi" w:cstheme="majorBidi"/>
          <w:sz w:val="28"/>
          <w:szCs w:val="28"/>
        </w:rPr>
        <w:br/>
        <w:t>1-Growth factor “the signal isn’t normal”.</w:t>
      </w:r>
      <w:r w:rsidR="00535175" w:rsidRPr="00BD7F78">
        <w:rPr>
          <w:rFonts w:asciiTheme="majorBidi" w:hAnsiTheme="majorBidi" w:cstheme="majorBidi"/>
          <w:sz w:val="28"/>
          <w:szCs w:val="28"/>
        </w:rPr>
        <w:br/>
        <w:t xml:space="preserve">2- The cell membrane itself “the </w:t>
      </w:r>
      <w:proofErr w:type="spellStart"/>
      <w:r w:rsidR="00535175" w:rsidRPr="00BD7F78">
        <w:rPr>
          <w:rFonts w:asciiTheme="majorBidi" w:hAnsiTheme="majorBidi" w:cstheme="majorBidi"/>
          <w:sz w:val="28"/>
          <w:szCs w:val="28"/>
        </w:rPr>
        <w:t>kinases</w:t>
      </w:r>
      <w:proofErr w:type="spellEnd"/>
      <w:r w:rsidR="00535175" w:rsidRPr="00BD7F78">
        <w:rPr>
          <w:rFonts w:asciiTheme="majorBidi" w:hAnsiTheme="majorBidi" w:cstheme="majorBidi"/>
          <w:sz w:val="28"/>
          <w:szCs w:val="28"/>
        </w:rPr>
        <w:t>”.</w:t>
      </w:r>
      <w:r w:rsidR="00535175" w:rsidRPr="00BD7F78">
        <w:rPr>
          <w:rFonts w:asciiTheme="majorBidi" w:hAnsiTheme="majorBidi" w:cstheme="majorBidi"/>
          <w:sz w:val="28"/>
          <w:szCs w:val="28"/>
        </w:rPr>
        <w:br/>
        <w:t>3- The cytoplasm.</w:t>
      </w:r>
      <w:r w:rsidR="00535175" w:rsidRPr="00BD7F78">
        <w:rPr>
          <w:rFonts w:asciiTheme="majorBidi" w:hAnsiTheme="majorBidi" w:cstheme="majorBidi"/>
          <w:sz w:val="28"/>
          <w:szCs w:val="28"/>
        </w:rPr>
        <w:br/>
        <w:t>4- The nucleus.</w:t>
      </w:r>
      <w:r w:rsidR="00535175" w:rsidRPr="00BD7F78">
        <w:rPr>
          <w:rFonts w:asciiTheme="majorBidi" w:hAnsiTheme="majorBidi" w:cstheme="majorBidi"/>
          <w:sz w:val="28"/>
          <w:szCs w:val="28"/>
        </w:rPr>
        <w:br/>
        <w:t xml:space="preserve">All these can be considered </w:t>
      </w:r>
      <w:proofErr w:type="spellStart"/>
      <w:r w:rsidR="00535175" w:rsidRPr="00BD7F78">
        <w:rPr>
          <w:rFonts w:asciiTheme="majorBidi" w:hAnsiTheme="majorBidi" w:cstheme="majorBidi"/>
          <w:sz w:val="28"/>
          <w:szCs w:val="28"/>
        </w:rPr>
        <w:t>oncogenes</w:t>
      </w:r>
      <w:proofErr w:type="spellEnd"/>
      <w:r w:rsidR="00535175" w:rsidRPr="00BD7F78">
        <w:rPr>
          <w:rFonts w:asciiTheme="majorBidi" w:hAnsiTheme="majorBidi" w:cstheme="majorBidi"/>
          <w:sz w:val="28"/>
          <w:szCs w:val="28"/>
        </w:rPr>
        <w:t xml:space="preserve"> or tumor suppressor genes.</w:t>
      </w:r>
      <w:r w:rsidR="00535175" w:rsidRPr="00BD7F78">
        <w:rPr>
          <w:rFonts w:asciiTheme="majorBidi" w:hAnsiTheme="majorBidi" w:cstheme="majorBidi"/>
          <w:sz w:val="28"/>
          <w:szCs w:val="28"/>
        </w:rPr>
        <w:br/>
        <w:t xml:space="preserve">These </w:t>
      </w:r>
      <w:proofErr w:type="spellStart"/>
      <w:r w:rsidR="00535175" w:rsidRPr="00BD7F78">
        <w:rPr>
          <w:rFonts w:asciiTheme="majorBidi" w:hAnsiTheme="majorBidi" w:cstheme="majorBidi"/>
          <w:sz w:val="28"/>
          <w:szCs w:val="28"/>
        </w:rPr>
        <w:t>oncogenes</w:t>
      </w:r>
      <w:proofErr w:type="spellEnd"/>
      <w:r w:rsidR="00535175" w:rsidRPr="00BD7F78">
        <w:rPr>
          <w:rFonts w:asciiTheme="majorBidi" w:hAnsiTheme="majorBidi" w:cstheme="majorBidi"/>
          <w:sz w:val="28"/>
          <w:szCs w:val="28"/>
        </w:rPr>
        <w:t xml:space="preserve"> can be amplified, for example </w:t>
      </w:r>
      <w:proofErr w:type="spellStart"/>
      <w:r w:rsidR="00535175" w:rsidRPr="00BD7F78">
        <w:rPr>
          <w:rFonts w:asciiTheme="majorBidi" w:hAnsiTheme="majorBidi" w:cstheme="majorBidi"/>
          <w:sz w:val="28"/>
          <w:szCs w:val="28"/>
        </w:rPr>
        <w:t>myc</w:t>
      </w:r>
      <w:proofErr w:type="spellEnd"/>
      <w:r w:rsidR="00535175" w:rsidRPr="00BD7F78">
        <w:rPr>
          <w:rFonts w:asciiTheme="majorBidi" w:hAnsiTheme="majorBidi" w:cstheme="majorBidi"/>
          <w:sz w:val="28"/>
          <w:szCs w:val="28"/>
        </w:rPr>
        <w:t xml:space="preserve"> gene </w:t>
      </w:r>
      <w:r w:rsidR="00DE22AA" w:rsidRPr="00BD7F78">
        <w:rPr>
          <w:rFonts w:asciiTheme="majorBidi" w:hAnsiTheme="majorBidi" w:cstheme="majorBidi"/>
          <w:sz w:val="28"/>
          <w:szCs w:val="28"/>
        </w:rPr>
        <w:t>when it has a mutation it’ll be activated 20 times more than the normal conditions.</w:t>
      </w:r>
      <w:r w:rsidR="00DE22AA" w:rsidRPr="00BD7F78">
        <w:rPr>
          <w:rFonts w:asciiTheme="majorBidi" w:hAnsiTheme="majorBidi" w:cstheme="majorBidi"/>
          <w:sz w:val="28"/>
          <w:szCs w:val="28"/>
        </w:rPr>
        <w:br/>
        <w:t>N-</w:t>
      </w:r>
      <w:proofErr w:type="spellStart"/>
      <w:r w:rsidR="00DE22AA" w:rsidRPr="00BD7F78">
        <w:rPr>
          <w:rFonts w:asciiTheme="majorBidi" w:hAnsiTheme="majorBidi" w:cstheme="majorBidi"/>
          <w:sz w:val="28"/>
          <w:szCs w:val="28"/>
        </w:rPr>
        <w:t>myc</w:t>
      </w:r>
      <w:proofErr w:type="spellEnd"/>
      <w:r w:rsidR="00DE22AA" w:rsidRPr="00BD7F78">
        <w:rPr>
          <w:rFonts w:asciiTheme="majorBidi" w:hAnsiTheme="majorBidi" w:cstheme="majorBidi"/>
          <w:sz w:val="28"/>
          <w:szCs w:val="28"/>
        </w:rPr>
        <w:t xml:space="preserve"> will result in 5-1000 fold increase, C-</w:t>
      </w:r>
      <w:proofErr w:type="spellStart"/>
      <w:r w:rsidR="00DE22AA" w:rsidRPr="00BD7F78">
        <w:rPr>
          <w:rFonts w:asciiTheme="majorBidi" w:hAnsiTheme="majorBidi" w:cstheme="majorBidi"/>
          <w:sz w:val="28"/>
          <w:szCs w:val="28"/>
        </w:rPr>
        <w:t>myc</w:t>
      </w:r>
      <w:proofErr w:type="spellEnd"/>
      <w:r w:rsidR="00DE22AA" w:rsidRPr="00BD7F78">
        <w:rPr>
          <w:rFonts w:asciiTheme="majorBidi" w:hAnsiTheme="majorBidi" w:cstheme="majorBidi"/>
          <w:sz w:val="28"/>
          <w:szCs w:val="28"/>
        </w:rPr>
        <w:t xml:space="preserve"> will result in 5-</w:t>
      </w:r>
      <w:proofErr w:type="gramStart"/>
      <w:r w:rsidR="00DE22AA" w:rsidRPr="00BD7F78">
        <w:rPr>
          <w:rFonts w:asciiTheme="majorBidi" w:hAnsiTheme="majorBidi" w:cstheme="majorBidi"/>
          <w:sz w:val="28"/>
          <w:szCs w:val="28"/>
        </w:rPr>
        <w:t>20  folds</w:t>
      </w:r>
      <w:proofErr w:type="gramEnd"/>
      <w:r w:rsidR="00DE22AA" w:rsidRPr="00BD7F78">
        <w:rPr>
          <w:rFonts w:asciiTheme="majorBidi" w:hAnsiTheme="majorBidi" w:cstheme="majorBidi"/>
          <w:sz w:val="28"/>
          <w:szCs w:val="28"/>
        </w:rPr>
        <w:t xml:space="preserve"> increase, </w:t>
      </w:r>
      <w:proofErr w:type="spellStart"/>
      <w:r w:rsidR="00DE22AA" w:rsidRPr="00BD7F78">
        <w:rPr>
          <w:rFonts w:asciiTheme="majorBidi" w:hAnsiTheme="majorBidi" w:cstheme="majorBidi"/>
          <w:sz w:val="28"/>
          <w:szCs w:val="28"/>
        </w:rPr>
        <w:t>myb</w:t>
      </w:r>
      <w:proofErr w:type="spellEnd"/>
      <w:r w:rsidR="00DE22AA" w:rsidRPr="00BD7F78">
        <w:rPr>
          <w:rFonts w:asciiTheme="majorBidi" w:hAnsiTheme="majorBidi" w:cstheme="majorBidi"/>
          <w:sz w:val="28"/>
          <w:szCs w:val="28"/>
        </w:rPr>
        <w:t xml:space="preserve"> will result in 10 folds increase.</w:t>
      </w:r>
      <w:r w:rsidR="00DE22AA" w:rsidRPr="00BD7F78">
        <w:rPr>
          <w:rFonts w:asciiTheme="majorBidi" w:hAnsiTheme="majorBidi" w:cstheme="majorBidi"/>
          <w:sz w:val="28"/>
          <w:szCs w:val="28"/>
        </w:rPr>
        <w:br/>
      </w:r>
      <w:r w:rsidR="00DE22AA" w:rsidRPr="00BD7F78">
        <w:rPr>
          <w:rFonts w:asciiTheme="majorBidi" w:hAnsiTheme="majorBidi" w:cstheme="majorBidi"/>
          <w:sz w:val="28"/>
          <w:szCs w:val="28"/>
        </w:rPr>
        <w:br/>
      </w:r>
      <w:proofErr w:type="gramStart"/>
      <w:r w:rsidR="00DE22AA" w:rsidRPr="00BD7F78">
        <w:rPr>
          <w:rFonts w:asciiTheme="majorBidi" w:hAnsiTheme="majorBidi" w:cstheme="majorBidi"/>
          <w:sz w:val="28"/>
          <w:szCs w:val="28"/>
        </w:rPr>
        <w:t>Tumor suppressor genes.</w:t>
      </w:r>
      <w:proofErr w:type="gramEnd"/>
      <w:r w:rsidR="00DE22AA" w:rsidRPr="00BD7F78">
        <w:rPr>
          <w:rFonts w:asciiTheme="majorBidi" w:hAnsiTheme="majorBidi" w:cstheme="majorBidi"/>
          <w:sz w:val="28"/>
          <w:szCs w:val="28"/>
        </w:rPr>
        <w:br/>
        <w:t xml:space="preserve">DCC in chromosome 18 are cell-receptor interaction, they cause colorectal tumor, </w:t>
      </w:r>
      <w:proofErr w:type="gramStart"/>
      <w:r w:rsidR="00DE22AA" w:rsidRPr="00BD7F78">
        <w:rPr>
          <w:rFonts w:asciiTheme="majorBidi" w:hAnsiTheme="majorBidi" w:cstheme="majorBidi"/>
          <w:sz w:val="28"/>
          <w:szCs w:val="28"/>
        </w:rPr>
        <w:t>WT</w:t>
      </w:r>
      <w:proofErr w:type="gramEnd"/>
      <w:r w:rsidR="00DE22AA" w:rsidRPr="00BD7F78">
        <w:rPr>
          <w:rFonts w:asciiTheme="majorBidi" w:hAnsiTheme="majorBidi" w:cstheme="majorBidi"/>
          <w:sz w:val="28"/>
          <w:szCs w:val="28"/>
        </w:rPr>
        <w:t>-1 transcription factor will lead to lung cancer, RB transcription factor will lead to retinoblastoma, P53 transcription factor will lead to breast cancer, lung cancer and other cancers and syndromes.</w:t>
      </w:r>
      <w:r w:rsidR="00DE22AA" w:rsidRPr="00BD7F78">
        <w:rPr>
          <w:rFonts w:asciiTheme="majorBidi" w:hAnsiTheme="majorBidi" w:cstheme="majorBidi"/>
          <w:sz w:val="28"/>
          <w:szCs w:val="28"/>
        </w:rPr>
        <w:br/>
        <w:t xml:space="preserve">Tumor suppressor genes are </w:t>
      </w:r>
      <w:proofErr w:type="spellStart"/>
      <w:r w:rsidR="00DE22AA" w:rsidRPr="00BD7F78">
        <w:rPr>
          <w:rFonts w:asciiTheme="majorBidi" w:hAnsiTheme="majorBidi" w:cstheme="majorBidi"/>
          <w:sz w:val="28"/>
          <w:szCs w:val="28"/>
        </w:rPr>
        <w:t>autosomal</w:t>
      </w:r>
      <w:proofErr w:type="spellEnd"/>
      <w:r w:rsidR="00DE22AA" w:rsidRPr="00BD7F78">
        <w:rPr>
          <w:rFonts w:asciiTheme="majorBidi" w:hAnsiTheme="majorBidi" w:cstheme="majorBidi"/>
          <w:sz w:val="28"/>
          <w:szCs w:val="28"/>
        </w:rPr>
        <w:t xml:space="preserve"> genes “2 alleles must be mutated for the tumor to </w:t>
      </w:r>
      <w:proofErr w:type="spellStart"/>
      <w:r w:rsidR="00DE22AA" w:rsidRPr="00BD7F78">
        <w:rPr>
          <w:rFonts w:asciiTheme="majorBidi" w:hAnsiTheme="majorBidi" w:cstheme="majorBidi"/>
          <w:sz w:val="28"/>
          <w:szCs w:val="28"/>
        </w:rPr>
        <w:t>hppen</w:t>
      </w:r>
      <w:proofErr w:type="spellEnd"/>
      <w:r w:rsidR="00DE22AA" w:rsidRPr="00BD7F78">
        <w:rPr>
          <w:rFonts w:asciiTheme="majorBidi" w:hAnsiTheme="majorBidi" w:cstheme="majorBidi"/>
          <w:sz w:val="28"/>
          <w:szCs w:val="28"/>
        </w:rPr>
        <w:t>”</w:t>
      </w:r>
      <w:proofErr w:type="gramStart"/>
      <w:r w:rsidR="00DE22AA" w:rsidRPr="00BD7F78">
        <w:rPr>
          <w:rFonts w:asciiTheme="majorBidi" w:hAnsiTheme="majorBidi" w:cstheme="majorBidi"/>
          <w:sz w:val="28"/>
          <w:szCs w:val="28"/>
        </w:rPr>
        <w:t>,</w:t>
      </w:r>
      <w:proofErr w:type="gramEnd"/>
      <w:r w:rsidR="00DE22AA" w:rsidRPr="00BD7F78">
        <w:rPr>
          <w:rFonts w:asciiTheme="majorBidi" w:hAnsiTheme="majorBidi" w:cstheme="majorBidi"/>
          <w:sz w:val="28"/>
          <w:szCs w:val="28"/>
        </w:rPr>
        <w:t xml:space="preserve"> while </w:t>
      </w:r>
      <w:proofErr w:type="spellStart"/>
      <w:r w:rsidR="00DE22AA" w:rsidRPr="00BD7F78">
        <w:rPr>
          <w:rFonts w:asciiTheme="majorBidi" w:hAnsiTheme="majorBidi" w:cstheme="majorBidi"/>
          <w:sz w:val="28"/>
          <w:szCs w:val="28"/>
        </w:rPr>
        <w:t>oncogenes</w:t>
      </w:r>
      <w:proofErr w:type="spellEnd"/>
      <w:r w:rsidR="00DE22AA" w:rsidRPr="00BD7F78">
        <w:rPr>
          <w:rFonts w:asciiTheme="majorBidi" w:hAnsiTheme="majorBidi" w:cstheme="majorBidi"/>
          <w:sz w:val="28"/>
          <w:szCs w:val="28"/>
        </w:rPr>
        <w:t xml:space="preserve"> are </w:t>
      </w:r>
      <w:proofErr w:type="spellStart"/>
      <w:r w:rsidR="00DE22AA" w:rsidRPr="00BD7F78">
        <w:rPr>
          <w:rFonts w:asciiTheme="majorBidi" w:hAnsiTheme="majorBidi" w:cstheme="majorBidi"/>
          <w:sz w:val="28"/>
          <w:szCs w:val="28"/>
        </w:rPr>
        <w:t>autosomal</w:t>
      </w:r>
      <w:proofErr w:type="spellEnd"/>
      <w:r w:rsidR="00DE22AA" w:rsidRPr="00BD7F78">
        <w:rPr>
          <w:rFonts w:asciiTheme="majorBidi" w:hAnsiTheme="majorBidi" w:cstheme="majorBidi"/>
          <w:sz w:val="28"/>
          <w:szCs w:val="28"/>
        </w:rPr>
        <w:t xml:space="preserve"> dominant “1 allele mutation is enough to result in a tumor”.</w:t>
      </w:r>
      <w:r w:rsidR="00DE22AA" w:rsidRPr="00BD7F78">
        <w:rPr>
          <w:rFonts w:asciiTheme="majorBidi" w:hAnsiTheme="majorBidi" w:cstheme="majorBidi"/>
          <w:sz w:val="28"/>
          <w:szCs w:val="28"/>
        </w:rPr>
        <w:br/>
      </w:r>
      <w:r w:rsidR="00DE22AA" w:rsidRPr="00BD7F78">
        <w:rPr>
          <w:rFonts w:asciiTheme="majorBidi" w:hAnsiTheme="majorBidi" w:cstheme="majorBidi"/>
          <w:sz w:val="28"/>
          <w:szCs w:val="28"/>
        </w:rPr>
        <w:br/>
        <w:t>The sporadic causes of tumors can be</w:t>
      </w:r>
      <w:proofErr w:type="gramStart"/>
      <w:r w:rsidR="00DE22AA" w:rsidRPr="00BD7F78">
        <w:rPr>
          <w:rFonts w:asciiTheme="majorBidi" w:hAnsiTheme="majorBidi" w:cstheme="majorBidi"/>
          <w:sz w:val="28"/>
          <w:szCs w:val="28"/>
        </w:rPr>
        <w:t>:</w:t>
      </w:r>
      <w:proofErr w:type="gramEnd"/>
      <w:r w:rsidR="00DE22AA" w:rsidRPr="00BD7F78">
        <w:rPr>
          <w:rFonts w:asciiTheme="majorBidi" w:hAnsiTheme="majorBidi" w:cstheme="majorBidi"/>
          <w:sz w:val="28"/>
          <w:szCs w:val="28"/>
        </w:rPr>
        <w:br/>
        <w:t>1- Physical: light, X-ray, radiation, like in skin carcinoma and melanomas.</w:t>
      </w:r>
      <w:r w:rsidR="00DE22AA" w:rsidRPr="00BD7F78">
        <w:rPr>
          <w:rFonts w:asciiTheme="majorBidi" w:hAnsiTheme="majorBidi" w:cstheme="majorBidi"/>
          <w:sz w:val="28"/>
          <w:szCs w:val="28"/>
        </w:rPr>
        <w:br/>
        <w:t>2-Chemical: “</w:t>
      </w:r>
      <w:proofErr w:type="spellStart"/>
      <w:r w:rsidR="00DE22AA" w:rsidRPr="00BD7F78">
        <w:rPr>
          <w:rFonts w:asciiTheme="majorBidi" w:hAnsiTheme="majorBidi" w:cstheme="majorBidi"/>
          <w:sz w:val="28"/>
          <w:szCs w:val="28"/>
        </w:rPr>
        <w:t>Benzopyran</w:t>
      </w:r>
      <w:proofErr w:type="spellEnd"/>
      <w:r w:rsidR="00DE22AA" w:rsidRPr="00BD7F78">
        <w:rPr>
          <w:rFonts w:asciiTheme="majorBidi" w:hAnsiTheme="majorBidi" w:cstheme="majorBidi"/>
          <w:sz w:val="28"/>
          <w:szCs w:val="28"/>
        </w:rPr>
        <w:t xml:space="preserve">”, alpha toxin, oxidative </w:t>
      </w:r>
      <w:proofErr w:type="spellStart"/>
      <w:r w:rsidR="00DE22AA" w:rsidRPr="00BD7F78">
        <w:rPr>
          <w:rFonts w:asciiTheme="majorBidi" w:hAnsiTheme="majorBidi" w:cstheme="majorBidi"/>
          <w:sz w:val="28"/>
          <w:szCs w:val="28"/>
        </w:rPr>
        <w:t>stress</w:t>
      </w:r>
      <w:proofErr w:type="gramStart"/>
      <w:r w:rsidR="00DE22AA" w:rsidRPr="00BD7F78">
        <w:rPr>
          <w:rFonts w:asciiTheme="majorBidi" w:hAnsiTheme="majorBidi" w:cstheme="majorBidi"/>
          <w:sz w:val="28"/>
          <w:szCs w:val="28"/>
        </w:rPr>
        <w:t>,like</w:t>
      </w:r>
      <w:proofErr w:type="spellEnd"/>
      <w:proofErr w:type="gramEnd"/>
      <w:r w:rsidR="00DE22AA" w:rsidRPr="00BD7F78">
        <w:rPr>
          <w:rFonts w:asciiTheme="majorBidi" w:hAnsiTheme="majorBidi" w:cstheme="majorBidi"/>
          <w:sz w:val="28"/>
          <w:szCs w:val="28"/>
        </w:rPr>
        <w:t xml:space="preserve"> in lung cancer, liver cancer</w:t>
      </w:r>
      <w:r w:rsidR="00DE22AA" w:rsidRPr="00BD7F78">
        <w:rPr>
          <w:rFonts w:asciiTheme="majorBidi" w:hAnsiTheme="majorBidi" w:cstheme="majorBidi"/>
          <w:sz w:val="28"/>
          <w:szCs w:val="28"/>
        </w:rPr>
        <w:br/>
        <w:t>3-Biological: viruses, like in liver cancer where the integration of viral DNA in the cellular DNA happens.</w:t>
      </w:r>
      <w:r w:rsidR="00DE22AA" w:rsidRPr="00BD7F78">
        <w:rPr>
          <w:rFonts w:asciiTheme="majorBidi" w:hAnsiTheme="majorBidi" w:cstheme="majorBidi"/>
          <w:sz w:val="28"/>
          <w:szCs w:val="28"/>
        </w:rPr>
        <w:br/>
      </w:r>
      <w:r w:rsidR="00DE22AA" w:rsidRPr="00BD7F78">
        <w:rPr>
          <w:rFonts w:asciiTheme="majorBidi" w:hAnsiTheme="majorBidi" w:cstheme="majorBidi"/>
          <w:sz w:val="28"/>
          <w:szCs w:val="28"/>
        </w:rPr>
        <w:br/>
      </w:r>
      <w:r w:rsidR="00DE22AA" w:rsidRPr="00BD7F78">
        <w:rPr>
          <w:rFonts w:asciiTheme="majorBidi" w:hAnsiTheme="majorBidi" w:cstheme="majorBidi"/>
          <w:sz w:val="28"/>
          <w:szCs w:val="28"/>
        </w:rPr>
        <w:lastRenderedPageBreak/>
        <w:t xml:space="preserve">Chemical </w:t>
      </w:r>
      <w:r w:rsidR="000B665B" w:rsidRPr="00BD7F78">
        <w:rPr>
          <w:rFonts w:asciiTheme="majorBidi" w:hAnsiTheme="majorBidi" w:cstheme="majorBidi"/>
          <w:sz w:val="28"/>
          <w:szCs w:val="28"/>
        </w:rPr>
        <w:t>signals that controls the cell’s cycle.</w:t>
      </w:r>
      <w:r w:rsidR="000B665B" w:rsidRPr="00BD7F78">
        <w:rPr>
          <w:rFonts w:asciiTheme="majorBidi" w:hAnsiTheme="majorBidi" w:cstheme="majorBidi"/>
          <w:sz w:val="28"/>
          <w:szCs w:val="28"/>
        </w:rPr>
        <w:br/>
      </w:r>
      <w:proofErr w:type="spellStart"/>
      <w:r w:rsidR="000B665B" w:rsidRPr="00BD7F78">
        <w:rPr>
          <w:rFonts w:asciiTheme="majorBidi" w:hAnsiTheme="majorBidi" w:cstheme="majorBidi"/>
          <w:sz w:val="28"/>
          <w:szCs w:val="28"/>
        </w:rPr>
        <w:t>Cyclins</w:t>
      </w:r>
      <w:proofErr w:type="spellEnd"/>
      <w:r w:rsidR="000B665B" w:rsidRPr="00BD7F78">
        <w:rPr>
          <w:rFonts w:asciiTheme="majorBidi" w:hAnsiTheme="majorBidi" w:cstheme="majorBidi"/>
          <w:sz w:val="28"/>
          <w:szCs w:val="28"/>
        </w:rPr>
        <w:t xml:space="preserve"> and </w:t>
      </w:r>
      <w:proofErr w:type="spellStart"/>
      <w:r w:rsidR="000B665B" w:rsidRPr="00BD7F78">
        <w:rPr>
          <w:rFonts w:asciiTheme="majorBidi" w:hAnsiTheme="majorBidi" w:cstheme="majorBidi"/>
          <w:sz w:val="28"/>
          <w:szCs w:val="28"/>
        </w:rPr>
        <w:t>kinases</w:t>
      </w:r>
      <w:proofErr w:type="spellEnd"/>
      <w:r w:rsidR="000B665B" w:rsidRPr="00BD7F78">
        <w:rPr>
          <w:rFonts w:asciiTheme="majorBidi" w:hAnsiTheme="majorBidi" w:cstheme="majorBidi"/>
          <w:sz w:val="28"/>
          <w:szCs w:val="28"/>
        </w:rPr>
        <w:t xml:space="preserve"> in the membrane, hormones “like TSH which is important in regulating the thyroid gland function, growth factors like PDGF which is important in regulating the growth of epithelial cells.</w:t>
      </w:r>
      <w:r w:rsidR="000B665B" w:rsidRPr="00BD7F78">
        <w:rPr>
          <w:rFonts w:asciiTheme="majorBidi" w:hAnsiTheme="majorBidi" w:cstheme="majorBidi"/>
          <w:sz w:val="28"/>
          <w:szCs w:val="28"/>
        </w:rPr>
        <w:br/>
      </w:r>
      <w:r w:rsidR="000B665B" w:rsidRPr="00BD7F78">
        <w:rPr>
          <w:rFonts w:asciiTheme="majorBidi" w:hAnsiTheme="majorBidi" w:cstheme="majorBidi"/>
          <w:sz w:val="28"/>
          <w:szCs w:val="28"/>
        </w:rPr>
        <w:br/>
        <w:t>Normally there is a balance between growth factors and growth inhibitors because the number of cells generated should equal the number of cells that die, when the death of cells dominates a problem will result, when generation of cells dominates a tumor will result.</w:t>
      </w:r>
      <w:r w:rsidR="000B665B" w:rsidRPr="00BD7F78">
        <w:rPr>
          <w:rFonts w:asciiTheme="majorBidi" w:hAnsiTheme="majorBidi" w:cstheme="majorBidi"/>
          <w:sz w:val="28"/>
          <w:szCs w:val="28"/>
        </w:rPr>
        <w:br/>
        <w:t xml:space="preserve">Mutations can be deletion “like in the suppressor genes”, or amplification “like in the </w:t>
      </w:r>
      <w:proofErr w:type="spellStart"/>
      <w:r w:rsidR="000B665B" w:rsidRPr="00BD7F78">
        <w:rPr>
          <w:rFonts w:asciiTheme="majorBidi" w:hAnsiTheme="majorBidi" w:cstheme="majorBidi"/>
          <w:sz w:val="28"/>
          <w:szCs w:val="28"/>
        </w:rPr>
        <w:t>oncogenes</w:t>
      </w:r>
      <w:proofErr w:type="spellEnd"/>
      <w:r w:rsidR="000B665B" w:rsidRPr="00BD7F78">
        <w:rPr>
          <w:rFonts w:asciiTheme="majorBidi" w:hAnsiTheme="majorBidi" w:cstheme="majorBidi"/>
          <w:sz w:val="28"/>
          <w:szCs w:val="28"/>
        </w:rPr>
        <w:t xml:space="preserve">” or point mutations or </w:t>
      </w:r>
      <w:proofErr w:type="spellStart"/>
      <w:r w:rsidR="000B665B" w:rsidRPr="00BD7F78">
        <w:rPr>
          <w:rFonts w:asciiTheme="majorBidi" w:hAnsiTheme="majorBidi" w:cstheme="majorBidi"/>
          <w:sz w:val="28"/>
          <w:szCs w:val="28"/>
        </w:rPr>
        <w:t>interstional</w:t>
      </w:r>
      <w:proofErr w:type="spellEnd"/>
      <w:r w:rsidR="000B665B" w:rsidRPr="00BD7F78">
        <w:rPr>
          <w:rFonts w:asciiTheme="majorBidi" w:hAnsiTheme="majorBidi" w:cstheme="majorBidi"/>
          <w:sz w:val="28"/>
          <w:szCs w:val="28"/>
        </w:rPr>
        <w:t xml:space="preserve"> mutations.</w:t>
      </w:r>
      <w:r w:rsidR="000B665B" w:rsidRPr="00BD7F78">
        <w:rPr>
          <w:rFonts w:asciiTheme="majorBidi" w:hAnsiTheme="majorBidi" w:cstheme="majorBidi"/>
          <w:sz w:val="28"/>
          <w:szCs w:val="28"/>
        </w:rPr>
        <w:br/>
      </w:r>
      <w:r w:rsidR="000B665B" w:rsidRPr="00BD7F78">
        <w:rPr>
          <w:rFonts w:asciiTheme="majorBidi" w:hAnsiTheme="majorBidi" w:cstheme="majorBidi"/>
          <w:sz w:val="28"/>
          <w:szCs w:val="28"/>
        </w:rPr>
        <w:br/>
        <w:t xml:space="preserve">There is chromosomal instability which may result in a problem, or microsatellite instability “microsatellite can be present either in the telomere region or in the </w:t>
      </w:r>
      <w:proofErr w:type="spellStart"/>
      <w:r w:rsidR="000B665B" w:rsidRPr="00BD7F78">
        <w:rPr>
          <w:rFonts w:asciiTheme="majorBidi" w:hAnsiTheme="majorBidi" w:cstheme="majorBidi"/>
          <w:sz w:val="28"/>
          <w:szCs w:val="28"/>
        </w:rPr>
        <w:t>centromere</w:t>
      </w:r>
      <w:proofErr w:type="spellEnd"/>
      <w:r w:rsidR="000B665B" w:rsidRPr="00BD7F78">
        <w:rPr>
          <w:rFonts w:asciiTheme="majorBidi" w:hAnsiTheme="majorBidi" w:cstheme="majorBidi"/>
          <w:sz w:val="28"/>
          <w:szCs w:val="28"/>
        </w:rPr>
        <w:t xml:space="preserve"> region”, so if there is any problem, the division will not be normal because the segregation of the genes will not be normal.</w:t>
      </w:r>
      <w:r w:rsidR="001A78A2" w:rsidRPr="00BD7F78">
        <w:rPr>
          <w:rFonts w:asciiTheme="majorBidi" w:hAnsiTheme="majorBidi" w:cstheme="majorBidi"/>
          <w:sz w:val="28"/>
          <w:szCs w:val="28"/>
        </w:rPr>
        <w:br/>
      </w:r>
      <w:r w:rsidR="001A78A2" w:rsidRPr="00BD7F78">
        <w:rPr>
          <w:rFonts w:asciiTheme="majorBidi" w:hAnsiTheme="majorBidi" w:cstheme="majorBidi"/>
          <w:sz w:val="28"/>
          <w:szCs w:val="28"/>
        </w:rPr>
        <w:br/>
      </w:r>
      <w:r w:rsidR="00110802" w:rsidRPr="00BD7F78">
        <w:rPr>
          <w:rFonts w:asciiTheme="majorBidi" w:hAnsiTheme="majorBidi" w:cstheme="majorBidi"/>
          <w:sz w:val="28"/>
          <w:szCs w:val="28"/>
        </w:rPr>
        <w:t>85% of cancers are environmental, while only 15% are inherited.</w:t>
      </w:r>
      <w:r w:rsidR="00110802" w:rsidRPr="00BD7F78">
        <w:rPr>
          <w:rFonts w:asciiTheme="majorBidi" w:hAnsiTheme="majorBidi" w:cstheme="majorBidi"/>
          <w:sz w:val="28"/>
          <w:szCs w:val="28"/>
        </w:rPr>
        <w:br/>
        <w:t xml:space="preserve">A single hit “mutation” will not cause </w:t>
      </w:r>
      <w:proofErr w:type="gramStart"/>
      <w:r w:rsidR="00110802" w:rsidRPr="00BD7F78">
        <w:rPr>
          <w:rFonts w:asciiTheme="majorBidi" w:hAnsiTheme="majorBidi" w:cstheme="majorBidi"/>
          <w:sz w:val="28"/>
          <w:szCs w:val="28"/>
        </w:rPr>
        <w:t>cancer,</w:t>
      </w:r>
      <w:proofErr w:type="gramEnd"/>
      <w:r w:rsidR="00110802" w:rsidRPr="00BD7F78">
        <w:rPr>
          <w:rFonts w:asciiTheme="majorBidi" w:hAnsiTheme="majorBidi" w:cstheme="majorBidi"/>
          <w:sz w:val="28"/>
          <w:szCs w:val="28"/>
        </w:rPr>
        <w:t xml:space="preserve"> multiple hits are needed in order for the cancer to result.</w:t>
      </w:r>
      <w:r w:rsidR="00110802" w:rsidRPr="00BD7F78">
        <w:rPr>
          <w:rFonts w:asciiTheme="majorBidi" w:hAnsiTheme="majorBidi" w:cstheme="majorBidi"/>
          <w:sz w:val="28"/>
          <w:szCs w:val="28"/>
        </w:rPr>
        <w:br/>
      </w:r>
      <w:r w:rsidR="00110802" w:rsidRPr="00BD7F78">
        <w:rPr>
          <w:rFonts w:asciiTheme="majorBidi" w:hAnsiTheme="majorBidi" w:cstheme="majorBidi"/>
          <w:noProof/>
          <w:sz w:val="28"/>
          <w:szCs w:val="28"/>
        </w:rPr>
        <w:drawing>
          <wp:inline distT="0" distB="0" distL="0" distR="0">
            <wp:extent cx="4229100" cy="249555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86788" cy="6370638"/>
                      <a:chOff x="304800" y="228600"/>
                      <a:chExt cx="8586788" cy="6370638"/>
                    </a:xfrm>
                  </a:grpSpPr>
                  <a:pic>
                    <a:nvPicPr>
                      <a:cNvPr id="6147" name="Picture 3"/>
                      <a:cNvPicPr>
                        <a:picLocks noChangeAspect="1" noChangeArrowheads="1"/>
                      </a:cNvPicPr>
                    </a:nvPicPr>
                    <a:blipFill>
                      <a:blip r:embed="rId5"/>
                      <a:srcRect/>
                      <a:stretch>
                        <a:fillRect/>
                      </a:stretch>
                    </a:blipFill>
                    <a:spPr bwMode="auto">
                      <a:xfrm>
                        <a:off x="304800" y="228600"/>
                        <a:ext cx="5838825" cy="60864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cap="flat" cmpd="sng">
                            <a:solidFill>
                              <a:schemeClr val="tx1"/>
                            </a:solidFill>
                            <a:prstDash val="solid"/>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effectLst>
                              <a:outerShdw blurRad="63500" dist="38099" dir="2700000" algn="ctr" rotWithShape="0">
                                <a:schemeClr val="bg2">
                                  <a:alpha val="74998"/>
                                </a:schemeClr>
                              </a:outerShdw>
                            </a:effectLst>
                          </a14:hiddenEffects>
                        </a:ext>
                      </a:extLst>
                    </a:spPr>
                  </a:pic>
                  <a:pic>
                    <a:nvPicPr>
                      <a:cNvPr id="39939" name="Picture 3"/>
                      <a:cNvPicPr>
                        <a:picLocks noChangeAspect="1" noChangeArrowheads="1"/>
                      </a:cNvPicPr>
                    </a:nvPicPr>
                    <a:blipFill>
                      <a:blip r:embed="rId6"/>
                      <a:srcRect/>
                      <a:stretch>
                        <a:fillRect/>
                      </a:stretch>
                    </a:blipFill>
                    <a:spPr bwMode="auto">
                      <a:xfrm>
                        <a:off x="4776788" y="4343400"/>
                        <a:ext cx="1524000" cy="225583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cap="flat" cmpd="sng">
                            <a:solidFill>
                              <a:schemeClr val="tx1"/>
                            </a:solidFill>
                            <a:prstDash val="solid"/>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effectLst>
                              <a:outerShdw blurRad="63500" dist="38099" dir="2700000" algn="ctr" rotWithShape="0">
                                <a:schemeClr val="bg2">
                                  <a:alpha val="74998"/>
                                </a:schemeClr>
                              </a:outerShdw>
                            </a:effectLst>
                          </a14:hiddenEffects>
                        </a:ext>
                      </a:extLst>
                    </a:spPr>
                  </a:pic>
                  <a:sp>
                    <a:nvSpPr>
                      <a:cNvPr id="39940" name="Rectangle 2"/>
                      <a:cNvSpPr>
                        <a:spLocks noChangeArrowheads="1"/>
                      </a:cNvSpPr>
                    </a:nvSpPr>
                    <a:spPr bwMode="auto">
                      <a:xfrm>
                        <a:off x="4776788" y="1295400"/>
                        <a:ext cx="4114800" cy="1754188"/>
                      </a:xfrm>
                      <a:prstGeom prst="rect">
                        <a:avLst/>
                      </a:prstGeom>
                      <a:noFill/>
                      <a:ln w="9525">
                        <a:noFill/>
                        <a:miter lim="800000"/>
                        <a:headEnd/>
                        <a:tailEnd/>
                      </a:ln>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a:buFont typeface="Arial" pitchFamily="34" charset="0"/>
                            <a:buNone/>
                          </a:pPr>
                          <a:r>
                            <a:rPr lang="en-US" sz="3600">
                              <a:solidFill>
                                <a:srgbClr val="0033CC"/>
                              </a:solidFill>
                              <a:latin typeface="Arial Rounded MT Bold" pitchFamily="34" charset="0"/>
                            </a:rPr>
                            <a:t>Tumors Are Clonal Expansions</a:t>
                          </a:r>
                          <a:endParaRPr lang="en-US" sz="3600">
                            <a:latin typeface="Arial Rounded MT Bold" pitchFamily="34" charset="0"/>
                          </a:endParaRPr>
                        </a:p>
                      </a:txBody>
                      <a:useSpRect/>
                    </a:txSp>
                  </a:sp>
                </lc:lockedCanvas>
              </a:graphicData>
            </a:graphic>
          </wp:inline>
        </w:drawing>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r>
      <w:r w:rsidR="00110802" w:rsidRPr="00BD7F78">
        <w:rPr>
          <w:rFonts w:asciiTheme="majorBidi" w:hAnsiTheme="majorBidi" w:cstheme="majorBidi"/>
          <w:noProof/>
          <w:sz w:val="28"/>
          <w:szCs w:val="28"/>
        </w:rPr>
        <w:lastRenderedPageBreak/>
        <w:drawing>
          <wp:inline distT="0" distB="0" distL="0" distR="0">
            <wp:extent cx="4248150" cy="2543175"/>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8350" cy="6797675"/>
                      <a:chOff x="457200" y="76200"/>
                      <a:chExt cx="8388350" cy="6797675"/>
                    </a:xfrm>
                  </a:grpSpPr>
                  <a:sp>
                    <a:nvSpPr>
                      <a:cNvPr id="47106" name="Rectangle 2"/>
                      <a:cNvSpPr>
                        <a:spLocks noGrp="1" noChangeArrowheads="1"/>
                      </a:cNvSpPr>
                    </a:nvSpPr>
                    <a:spPr bwMode="auto">
                      <a:xfrm>
                        <a:off x="457200" y="76200"/>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2pPr>
                          <a:lvl3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3pPr>
                          <a:lvl4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4pPr>
                          <a:lvl5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5pPr>
                          <a:lvl6pPr marL="457200" algn="ctr" rtl="0" fontAlgn="base">
                            <a:spcBef>
                              <a:spcPct val="0"/>
                            </a:spcBef>
                            <a:spcAft>
                              <a:spcPct val="0"/>
                            </a:spcAft>
                            <a:defRPr sz="4400">
                              <a:solidFill>
                                <a:schemeClr val="tx2"/>
                              </a:solidFill>
                              <a:latin typeface="Arial" charset="0"/>
                              <a:ea typeface="ＭＳ Ｐゴシック" charset="-128"/>
                              <a:cs typeface="ＭＳ Ｐゴシック" charset="-128"/>
                            </a:defRPr>
                          </a:lvl6pPr>
                          <a:lvl7pPr marL="914400" algn="ctr" rtl="0" fontAlgn="base">
                            <a:spcBef>
                              <a:spcPct val="0"/>
                            </a:spcBef>
                            <a:spcAft>
                              <a:spcPct val="0"/>
                            </a:spcAft>
                            <a:defRPr sz="4400">
                              <a:solidFill>
                                <a:schemeClr val="tx2"/>
                              </a:solidFill>
                              <a:latin typeface="Arial" charset="0"/>
                              <a:ea typeface="ＭＳ Ｐゴシック" charset="-128"/>
                              <a:cs typeface="ＭＳ Ｐゴシック" charset="-128"/>
                            </a:defRPr>
                          </a:lvl7pPr>
                          <a:lvl8pPr marL="1371600" algn="ctr" rtl="0" fontAlgn="base">
                            <a:spcBef>
                              <a:spcPct val="0"/>
                            </a:spcBef>
                            <a:spcAft>
                              <a:spcPct val="0"/>
                            </a:spcAft>
                            <a:defRPr sz="4400">
                              <a:solidFill>
                                <a:schemeClr val="tx2"/>
                              </a:solidFill>
                              <a:latin typeface="Arial" charset="0"/>
                              <a:ea typeface="ＭＳ Ｐゴシック" charset="-128"/>
                              <a:cs typeface="ＭＳ Ｐゴシック" charset="-128"/>
                            </a:defRPr>
                          </a:lvl8pPr>
                          <a:lvl9pPr marL="1828800" algn="ctr" rtl="0" fontAlgn="base">
                            <a:spcBef>
                              <a:spcPct val="0"/>
                            </a:spcBef>
                            <a:spcAft>
                              <a:spcPct val="0"/>
                            </a:spcAft>
                            <a:defRPr sz="4400">
                              <a:solidFill>
                                <a:schemeClr val="tx2"/>
                              </a:solidFill>
                              <a:latin typeface="Arial" charset="0"/>
                              <a:ea typeface="ＭＳ Ｐゴシック" charset="-128"/>
                              <a:cs typeface="ＭＳ Ｐゴシック" charset="-128"/>
                            </a:defRPr>
                          </a:lvl9pPr>
                        </a:lstStyle>
                        <a:p>
                          <a:r>
                            <a:rPr lang="en-US" sz="3200" smtClean="0">
                              <a:solidFill>
                                <a:srgbClr val="0033CC"/>
                              </a:solidFill>
                            </a:rPr>
                            <a:t>Uterine leiomyomas and leiomyosarcomas</a:t>
                          </a:r>
                        </a:p>
                      </a:txBody>
                      <a:useSpRect/>
                    </a:txSp>
                  </a:sp>
                  <a:sp>
                    <a:nvSpPr>
                      <a:cNvPr id="47107" name="Rectangle 3"/>
                      <a:cNvSpPr>
                        <a:spLocks noGrp="1" noChangeArrowheads="1"/>
                      </a:cNvSpPr>
                    </a:nvSpPr>
                    <a:spPr bwMode="auto">
                      <a:xfrm>
                        <a:off x="609600" y="1066800"/>
                        <a:ext cx="7772400" cy="4114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har char="–"/>
                            <a:defRPr sz="2800">
                              <a:solidFill>
                                <a:schemeClr val="tx1"/>
                              </a:solidFill>
                              <a:latin typeface="+mn-lt"/>
                              <a:ea typeface="+mn-ea"/>
                            </a:defRPr>
                          </a:lvl2pPr>
                          <a:lvl3pPr marL="1143000" indent="-228600" algn="l" rtl="0" eaLnBrk="0" fontAlgn="base" hangingPunct="0">
                            <a:spcBef>
                              <a:spcPct val="20000"/>
                            </a:spcBef>
                            <a:spcAft>
                              <a:spcPct val="0"/>
                            </a:spcAft>
                            <a:buChar char="•"/>
                            <a:defRPr sz="2400">
                              <a:solidFill>
                                <a:schemeClr val="tx1"/>
                              </a:solidFill>
                              <a:latin typeface="+mn-lt"/>
                              <a:ea typeface="+mn-ea"/>
                            </a:defRPr>
                          </a:lvl3pPr>
                          <a:lvl4pPr marL="1600200" indent="-228600" algn="l" rtl="0" eaLnBrk="0" fontAlgn="base" hangingPunct="0">
                            <a:spcBef>
                              <a:spcPct val="20000"/>
                            </a:spcBef>
                            <a:spcAft>
                              <a:spcPct val="0"/>
                            </a:spcAft>
                            <a:buChar char="–"/>
                            <a:defRPr sz="2000">
                              <a:solidFill>
                                <a:schemeClr val="tx1"/>
                              </a:solidFill>
                              <a:latin typeface="+mn-lt"/>
                              <a:ea typeface="+mn-ea"/>
                            </a:defRPr>
                          </a:lvl4pPr>
                          <a:lvl5pPr marL="2057400" indent="-228600" algn="l" rtl="0" eaLnBrk="0" fontAlgn="base" hangingPunct="0">
                            <a:spcBef>
                              <a:spcPct val="20000"/>
                            </a:spcBef>
                            <a:spcAft>
                              <a:spcPct val="0"/>
                            </a:spcAft>
                            <a:buChar char="»"/>
                            <a:defRPr sz="2000">
                              <a:solidFill>
                                <a:schemeClr val="tx1"/>
                              </a:solidFill>
                              <a:latin typeface="+mn-lt"/>
                              <a:ea typeface="+mn-ea"/>
                            </a:defRPr>
                          </a:lvl5pPr>
                          <a:lvl6pPr marL="2514600" indent="-228600" algn="l" rtl="0" fontAlgn="base">
                            <a:spcBef>
                              <a:spcPct val="20000"/>
                            </a:spcBef>
                            <a:spcAft>
                              <a:spcPct val="0"/>
                            </a:spcAft>
                            <a:buChar char="»"/>
                            <a:defRPr sz="2000">
                              <a:solidFill>
                                <a:schemeClr val="tx1"/>
                              </a:solidFill>
                              <a:latin typeface="+mn-lt"/>
                              <a:ea typeface="+mn-ea"/>
                            </a:defRPr>
                          </a:lvl6pPr>
                          <a:lvl7pPr marL="2971800" indent="-228600" algn="l" rtl="0" fontAlgn="base">
                            <a:spcBef>
                              <a:spcPct val="20000"/>
                            </a:spcBef>
                            <a:spcAft>
                              <a:spcPct val="0"/>
                            </a:spcAft>
                            <a:buChar char="»"/>
                            <a:defRPr sz="2000">
                              <a:solidFill>
                                <a:schemeClr val="tx1"/>
                              </a:solidFill>
                              <a:latin typeface="+mn-lt"/>
                              <a:ea typeface="+mn-ea"/>
                            </a:defRPr>
                          </a:lvl7pPr>
                          <a:lvl8pPr marL="3429000" indent="-228600" algn="l" rtl="0" fontAlgn="base">
                            <a:spcBef>
                              <a:spcPct val="20000"/>
                            </a:spcBef>
                            <a:spcAft>
                              <a:spcPct val="0"/>
                            </a:spcAft>
                            <a:buChar char="»"/>
                            <a:defRPr sz="2000">
                              <a:solidFill>
                                <a:schemeClr val="tx1"/>
                              </a:solidFill>
                              <a:latin typeface="+mn-lt"/>
                              <a:ea typeface="+mn-ea"/>
                            </a:defRPr>
                          </a:lvl8pPr>
                          <a:lvl9pPr marL="3886200" indent="-228600" algn="l" rtl="0" fontAlgn="base">
                            <a:spcBef>
                              <a:spcPct val="20000"/>
                            </a:spcBef>
                            <a:spcAft>
                              <a:spcPct val="0"/>
                            </a:spcAft>
                            <a:buChar char="»"/>
                            <a:defRPr sz="2000">
                              <a:solidFill>
                                <a:schemeClr val="tx1"/>
                              </a:solidFill>
                              <a:latin typeface="+mn-lt"/>
                              <a:ea typeface="+mn-ea"/>
                            </a:defRPr>
                          </a:lvl9pPr>
                        </a:lstStyle>
                        <a:p>
                          <a:pPr>
                            <a:lnSpc>
                              <a:spcPct val="90000"/>
                            </a:lnSpc>
                          </a:pPr>
                          <a:r>
                            <a:rPr lang="en-US" sz="2400" smtClean="0"/>
                            <a:t>Benign tumors such as leiomyomas also show recurrent chromosomal abnormalities such as t(12;14) and deletion of 7q </a:t>
                          </a:r>
                        </a:p>
                        <a:p>
                          <a:pPr>
                            <a:lnSpc>
                              <a:spcPct val="90000"/>
                            </a:lnSpc>
                          </a:pPr>
                          <a:r>
                            <a:rPr lang="en-US" sz="2400" smtClean="0"/>
                            <a:t>40% of leiomyomas show abnormal karyotypes</a:t>
                          </a:r>
                        </a:p>
                        <a:p>
                          <a:pPr>
                            <a:lnSpc>
                              <a:spcPct val="90000"/>
                            </a:lnSpc>
                          </a:pPr>
                          <a:r>
                            <a:rPr lang="en-US" sz="2400" smtClean="0"/>
                            <a:t>Leiomyosarcomas show complex chromosomal rearrangements</a:t>
                          </a:r>
                        </a:p>
                      </a:txBody>
                      <a:useSpRect/>
                    </a:txSp>
                  </a:sp>
                  <a:sp>
                    <a:nvSpPr>
                      <a:cNvPr id="47108" name="Rectangle 3"/>
                      <a:cNvSpPr txBox="1">
                        <a:spLocks noChangeArrowheads="1"/>
                      </a:cNvSpPr>
                    </a:nvSpPr>
                    <a:spPr bwMode="auto">
                      <a:xfrm>
                        <a:off x="990600" y="3262313"/>
                        <a:ext cx="2895600" cy="3611562"/>
                      </a:xfrm>
                      <a:prstGeom prst="rect">
                        <a:avLst/>
                      </a:prstGeom>
                      <a:noFill/>
                      <a:ln w="9525">
                        <a:noFill/>
                        <a:miter lim="800000"/>
                        <a:headEnd/>
                        <a:tailEnd/>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marL="342900" indent="-342900" eaLnBrk="0" hangingPunct="0">
                            <a:buFontTx/>
                            <a:buNone/>
                          </a:pPr>
                          <a:r>
                            <a:rPr lang="en-US" sz="3200" b="1">
                              <a:solidFill>
                                <a:srgbClr val="C00000"/>
                              </a:solidFill>
                            </a:rPr>
                            <a:t>	</a:t>
                          </a:r>
                          <a:r>
                            <a:rPr lang="en-US" sz="3200" b="1">
                              <a:solidFill>
                                <a:srgbClr val="006600"/>
                              </a:solidFill>
                            </a:rPr>
                            <a:t>LOSS</a:t>
                          </a:r>
                          <a:endParaRPr lang="en-US" sz="3200" b="1"/>
                        </a:p>
                        <a:p>
                          <a:pPr marL="342900" indent="-342900" eaLnBrk="0" hangingPunct="0"/>
                          <a:r>
                            <a:rPr lang="en-US" sz="3200" b="1"/>
                            <a:t>13q (59%)</a:t>
                          </a:r>
                        </a:p>
                        <a:p>
                          <a:pPr marL="342900" indent="-342900" eaLnBrk="0" hangingPunct="0"/>
                          <a:r>
                            <a:rPr lang="en-US" sz="3200" b="1"/>
                            <a:t>10q(59%)</a:t>
                          </a:r>
                        </a:p>
                        <a:p>
                          <a:pPr marL="342900" indent="-342900" eaLnBrk="0" hangingPunct="0"/>
                          <a:r>
                            <a:rPr lang="en-US" sz="3200" b="1"/>
                            <a:t>2q(35%)</a:t>
                          </a:r>
                        </a:p>
                        <a:p>
                          <a:pPr marL="342900" indent="-342900" eaLnBrk="0" hangingPunct="0"/>
                          <a:r>
                            <a:rPr lang="en-US" sz="3200" b="1"/>
                            <a:t>16q(29%)</a:t>
                          </a:r>
                        </a:p>
                      </a:txBody>
                      <a:useSpRect/>
                    </a:txSp>
                  </a:sp>
                  <a:sp>
                    <a:nvSpPr>
                      <a:cNvPr id="47109" name="Rectangle 4"/>
                      <a:cNvSpPr txBox="1">
                        <a:spLocks noChangeArrowheads="1"/>
                      </a:cNvSpPr>
                    </a:nvSpPr>
                    <a:spPr bwMode="auto">
                      <a:xfrm>
                        <a:off x="4419600" y="3322638"/>
                        <a:ext cx="4425950" cy="3535362"/>
                      </a:xfrm>
                      <a:prstGeom prst="rect">
                        <a:avLst/>
                      </a:prstGeom>
                      <a:noFill/>
                      <a:ln w="9525">
                        <a:noFill/>
                        <a:miter lim="800000"/>
                        <a:headEnd/>
                        <a:tailEnd/>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marL="342900" indent="-342900" eaLnBrk="0" hangingPunct="0">
                            <a:buFontTx/>
                            <a:buNone/>
                          </a:pPr>
                          <a:r>
                            <a:rPr lang="en-US" sz="3200" b="1"/>
                            <a:t>	</a:t>
                          </a:r>
                          <a:r>
                            <a:rPr lang="en-US" sz="3200" b="1">
                              <a:solidFill>
                                <a:srgbClr val="FF0000"/>
                              </a:solidFill>
                            </a:rPr>
                            <a:t>GAIN</a:t>
                          </a:r>
                          <a:endParaRPr lang="en-US" sz="3200" b="1"/>
                        </a:p>
                        <a:p>
                          <a:pPr marL="342900" indent="-342900" eaLnBrk="0" hangingPunct="0"/>
                          <a:r>
                            <a:rPr lang="en-US" sz="3200" b="1"/>
                            <a:t>5p(35%)</a:t>
                          </a:r>
                        </a:p>
                        <a:p>
                          <a:pPr marL="342900" indent="-342900" eaLnBrk="0" hangingPunct="0"/>
                          <a:r>
                            <a:rPr lang="en-US" sz="3200" b="1"/>
                            <a:t>6p amplification</a:t>
                          </a:r>
                        </a:p>
                        <a:p>
                          <a:pPr marL="342900" indent="-342900" eaLnBrk="0" hangingPunct="0"/>
                          <a:r>
                            <a:rPr lang="en-US" sz="3200" b="1"/>
                            <a:t>17p amplification</a:t>
                          </a:r>
                        </a:p>
                      </a:txBody>
                      <a:useSpRect/>
                    </a:txSp>
                  </a:sp>
                </lc:lockedCanvas>
              </a:graphicData>
            </a:graphic>
          </wp:inline>
        </w:drawing>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t>Because it’s a gain or loss mutation, CGH method can be used to detect it.</w:t>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r>
      <w:r w:rsidR="00110802" w:rsidRPr="00BD7F78">
        <w:rPr>
          <w:rFonts w:asciiTheme="majorBidi" w:hAnsiTheme="majorBidi" w:cstheme="majorBidi"/>
          <w:noProof/>
          <w:sz w:val="28"/>
          <w:szCs w:val="28"/>
        </w:rPr>
        <w:drawing>
          <wp:inline distT="0" distB="0" distL="0" distR="0">
            <wp:extent cx="3800475" cy="2724150"/>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6705600"/>
                      <a:chOff x="457200" y="152400"/>
                      <a:chExt cx="8077200" cy="6705600"/>
                    </a:xfrm>
                  </a:grpSpPr>
                  <a:pic>
                    <a:nvPicPr>
                      <a:cNvPr id="49154" name="Picture 4"/>
                      <a:cNvPicPr>
                        <a:picLocks noChangeAspect="1" noChangeArrowheads="1"/>
                      </a:cNvPicPr>
                    </a:nvPicPr>
                    <a:blipFill>
                      <a:blip r:embed="rId7"/>
                      <a:srcRect/>
                      <a:stretch>
                        <a:fillRect/>
                      </a:stretch>
                    </a:blipFill>
                    <a:spPr bwMode="auto">
                      <a:xfrm>
                        <a:off x="457200" y="1200150"/>
                        <a:ext cx="8077200" cy="3505200"/>
                      </a:xfrm>
                      <a:prstGeom prst="rect">
                        <a:avLst/>
                      </a:prstGeom>
                      <a:noFill/>
                      <a:ln w="9525">
                        <a:noFill/>
                        <a:miter lim="800000"/>
                        <a:headEnd/>
                        <a:tailEnd/>
                      </a:ln>
                    </a:spPr>
                  </a:pic>
                  <a:sp>
                    <a:nvSpPr>
                      <a:cNvPr id="49155" name="Rectangle 5"/>
                      <a:cNvSpPr>
                        <a:spLocks noChangeArrowheads="1"/>
                      </a:cNvSpPr>
                    </a:nvSpPr>
                    <a:spPr bwMode="auto">
                      <a:xfrm>
                        <a:off x="533400" y="152400"/>
                        <a:ext cx="8001000" cy="1039813"/>
                      </a:xfrm>
                      <a:prstGeom prst="rect">
                        <a:avLst/>
                      </a:prstGeom>
                      <a:noFill/>
                      <a:ln w="9525">
                        <a:noFill/>
                        <a:miter lim="800000"/>
                        <a:headEnd/>
                        <a:tailEnd/>
                      </a:ln>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a:buFont typeface="Arial" pitchFamily="34" charset="0"/>
                            <a:buNone/>
                          </a:pPr>
                          <a:r>
                            <a:rPr lang="en-US" b="1">
                              <a:solidFill>
                                <a:srgbClr val="0033CC"/>
                              </a:solidFill>
                            </a:rPr>
                            <a:t>Morphological and Molecular Changes in</a:t>
                          </a:r>
                        </a:p>
                        <a:p>
                          <a:pPr algn="ctr">
                            <a:buFont typeface="Arial" pitchFamily="34" charset="0"/>
                            <a:buNone/>
                          </a:pPr>
                          <a:r>
                            <a:rPr lang="en-US" b="1">
                              <a:solidFill>
                                <a:srgbClr val="0033CC"/>
                              </a:solidFill>
                            </a:rPr>
                            <a:t> Adenoma and Carcinoma Sequence</a:t>
                          </a:r>
                        </a:p>
                      </a:txBody>
                      <a:useSpRect/>
                    </a:txSp>
                  </a:sp>
                  <a:pic>
                    <a:nvPicPr>
                      <a:cNvPr id="49156" name="Picture 7"/>
                      <a:cNvPicPr>
                        <a:picLocks noChangeAspect="1" noChangeArrowheads="1"/>
                      </a:cNvPicPr>
                    </a:nvPicPr>
                    <a:blipFill>
                      <a:blip r:embed="rId8"/>
                      <a:srcRect/>
                      <a:stretch>
                        <a:fillRect/>
                      </a:stretch>
                    </a:blipFill>
                    <a:spPr bwMode="auto">
                      <a:xfrm>
                        <a:off x="457200" y="4686300"/>
                        <a:ext cx="8077200" cy="2171700"/>
                      </a:xfrm>
                      <a:prstGeom prst="rect">
                        <a:avLst/>
                      </a:prstGeom>
                      <a:noFill/>
                      <a:ln w="9525">
                        <a:noFill/>
                        <a:miter lim="800000"/>
                        <a:headEnd/>
                        <a:tailEnd/>
                      </a:ln>
                    </a:spPr>
                  </a:pic>
                </lc:lockedCanvas>
              </a:graphicData>
            </a:graphic>
          </wp:inline>
        </w:drawing>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t xml:space="preserve">5 hits are at least needed to result in colon cancer. APC has familial tendency. </w:t>
      </w:r>
      <w:r w:rsidR="00110802" w:rsidRPr="00BD7F78">
        <w:rPr>
          <w:rFonts w:asciiTheme="majorBidi" w:hAnsiTheme="majorBidi" w:cstheme="majorBidi"/>
          <w:sz w:val="28"/>
          <w:szCs w:val="28"/>
        </w:rPr>
        <w:br/>
        <w:t xml:space="preserve">In familial colon cancer they look for deletion in chromosome 5q21 if it’s present the </w:t>
      </w:r>
      <w:proofErr w:type="spellStart"/>
      <w:r w:rsidR="00110802" w:rsidRPr="00BD7F78">
        <w:rPr>
          <w:rFonts w:asciiTheme="majorBidi" w:hAnsiTheme="majorBidi" w:cstheme="majorBidi"/>
          <w:sz w:val="28"/>
          <w:szCs w:val="28"/>
        </w:rPr>
        <w:t>the</w:t>
      </w:r>
      <w:proofErr w:type="spellEnd"/>
      <w:r w:rsidR="00110802" w:rsidRPr="00BD7F78">
        <w:rPr>
          <w:rFonts w:asciiTheme="majorBidi" w:hAnsiTheme="majorBidi" w:cstheme="majorBidi"/>
          <w:sz w:val="28"/>
          <w:szCs w:val="28"/>
        </w:rPr>
        <w:t xml:space="preserve"> patient should be followed up carefully. </w:t>
      </w:r>
      <w:r w:rsidR="00110802" w:rsidRPr="00BD7F78">
        <w:rPr>
          <w:rFonts w:asciiTheme="majorBidi" w:hAnsiTheme="majorBidi" w:cstheme="majorBidi"/>
          <w:sz w:val="28"/>
          <w:szCs w:val="28"/>
        </w:rPr>
        <w:br/>
      </w:r>
      <w:r w:rsidR="00110802" w:rsidRPr="00BD7F78">
        <w:rPr>
          <w:rFonts w:asciiTheme="majorBidi" w:hAnsiTheme="majorBidi" w:cstheme="majorBidi"/>
          <w:noProof/>
          <w:sz w:val="28"/>
          <w:szCs w:val="28"/>
        </w:rPr>
        <w:lastRenderedPageBreak/>
        <w:drawing>
          <wp:inline distT="0" distB="0" distL="0" distR="0">
            <wp:extent cx="4229100" cy="2533650"/>
            <wp:effectExtent l="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7237" cy="6240463"/>
                      <a:chOff x="309563" y="228600"/>
                      <a:chExt cx="8377237" cy="6240463"/>
                    </a:xfrm>
                  </a:grpSpPr>
                  <a:sp>
                    <a:nvSpPr>
                      <a:cNvPr id="50178" name="Rectangle 2"/>
                      <a:cNvSpPr>
                        <a:spLocks noChangeArrowheads="1"/>
                      </a:cNvSpPr>
                    </a:nvSpPr>
                    <a:spPr bwMode="auto">
                      <a:xfrm>
                        <a:off x="685800" y="228600"/>
                        <a:ext cx="7772400" cy="609600"/>
                      </a:xfrm>
                      <a:prstGeom prst="rect">
                        <a:avLst/>
                      </a:prstGeom>
                      <a:noFill/>
                      <a:ln w="9525">
                        <a:noFill/>
                        <a:miter lim="800000"/>
                        <a:headEnd/>
                        <a:tailEnd/>
                      </a:ln>
                    </a:spPr>
                    <a:txSp>
                      <a:txBody>
                        <a:bodyPr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a:buFont typeface="Arial" pitchFamily="34" charset="0"/>
                            <a:buNone/>
                          </a:pPr>
                          <a:r>
                            <a:rPr lang="en-US" sz="4000" b="1">
                              <a:solidFill>
                                <a:srgbClr val="0033CC"/>
                              </a:solidFill>
                              <a:latin typeface="Comic Sans MS" pitchFamily="66" charset="0"/>
                            </a:rPr>
                            <a:t>Cancer and repair: HNPCC</a:t>
                          </a:r>
                        </a:p>
                      </a:txBody>
                      <a:useSpRect/>
                    </a:txSp>
                  </a:sp>
                  <a:sp>
                    <a:nvSpPr>
                      <a:cNvPr id="50179" name="Text Box 3"/>
                      <a:cNvSpPr txBox="1">
                        <a:spLocks noChangeArrowheads="1"/>
                      </a:cNvSpPr>
                    </a:nvSpPr>
                    <a:spPr bwMode="auto">
                      <a:xfrm>
                        <a:off x="568325" y="2173288"/>
                        <a:ext cx="1692275" cy="708025"/>
                      </a:xfrm>
                      <a:prstGeom prst="rect">
                        <a:avLst/>
                      </a:prstGeom>
                      <a:solidFill>
                        <a:schemeClr val="accent1"/>
                      </a:solidFill>
                      <a:ln w="9525">
                        <a:noFill/>
                        <a:miter lim="800000"/>
                        <a:headEnd/>
                        <a:tailEnd/>
                      </a:ln>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a:r>
                            <a:rPr lang="en-US" sz="2000">
                              <a:solidFill>
                                <a:srgbClr val="000099"/>
                              </a:solidFill>
                              <a:latin typeface="Comic Sans MS" pitchFamily="66" charset="0"/>
                              <a:cs typeface="Arial" pitchFamily="34" charset="0"/>
                            </a:rPr>
                            <a:t>Normal epithelium</a:t>
                          </a:r>
                        </a:p>
                      </a:txBody>
                      <a:useSpRect/>
                    </a:txSp>
                  </a:sp>
                  <a:sp>
                    <a:nvSpPr>
                      <a:cNvPr id="50180" name="Text Box 4"/>
                      <a:cNvSpPr txBox="1">
                        <a:spLocks noChangeArrowheads="1"/>
                      </a:cNvSpPr>
                    </a:nvSpPr>
                    <a:spPr bwMode="auto">
                      <a:xfrm>
                        <a:off x="2832100" y="2314575"/>
                        <a:ext cx="1263650" cy="400050"/>
                      </a:xfrm>
                      <a:prstGeom prst="rect">
                        <a:avLst/>
                      </a:prstGeom>
                      <a:solidFill>
                        <a:schemeClr val="accent1"/>
                      </a:solidFill>
                      <a:ln w="9525">
                        <a:noFill/>
                        <a:miter lim="800000"/>
                        <a:headEnd/>
                        <a:tailEnd/>
                      </a:ln>
                    </a:spPr>
                    <a:txSp>
                      <a:txBody>
                        <a:bodyPr wrap="none">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r>
                            <a:rPr lang="en-US" sz="2000">
                              <a:solidFill>
                                <a:srgbClr val="000099"/>
                              </a:solidFill>
                              <a:latin typeface="Comic Sans MS" pitchFamily="66" charset="0"/>
                              <a:cs typeface="Arial" pitchFamily="34" charset="0"/>
                            </a:rPr>
                            <a:t>Adenoma</a:t>
                          </a:r>
                        </a:p>
                      </a:txBody>
                      <a:useSpRect/>
                    </a:txSp>
                  </a:sp>
                  <a:sp>
                    <a:nvSpPr>
                      <a:cNvPr id="50181" name="Text Box 5"/>
                      <a:cNvSpPr txBox="1">
                        <a:spLocks noChangeArrowheads="1"/>
                      </a:cNvSpPr>
                    </a:nvSpPr>
                    <a:spPr bwMode="auto">
                      <a:xfrm>
                        <a:off x="4892675" y="2314575"/>
                        <a:ext cx="1397000" cy="400050"/>
                      </a:xfrm>
                      <a:prstGeom prst="rect">
                        <a:avLst/>
                      </a:prstGeom>
                      <a:solidFill>
                        <a:schemeClr val="accent1"/>
                      </a:solidFill>
                      <a:ln w="9525">
                        <a:noFill/>
                        <a:miter lim="800000"/>
                        <a:headEnd/>
                        <a:tailEnd/>
                      </a:ln>
                    </a:spPr>
                    <a:txSp>
                      <a:txBody>
                        <a:bodyPr wrap="none">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a:r>
                            <a:rPr lang="en-US" sz="2000">
                              <a:solidFill>
                                <a:srgbClr val="000099"/>
                              </a:solidFill>
                              <a:latin typeface="Comic Sans MS" pitchFamily="66" charset="0"/>
                              <a:cs typeface="Arial" pitchFamily="34" charset="0"/>
                            </a:rPr>
                            <a:t>Carcinoma</a:t>
                          </a:r>
                        </a:p>
                      </a:txBody>
                      <a:useSpRect/>
                    </a:txSp>
                  </a:sp>
                  <a:sp>
                    <a:nvSpPr>
                      <a:cNvPr id="50182" name="Text Box 6"/>
                      <a:cNvSpPr txBox="1">
                        <a:spLocks noChangeArrowheads="1"/>
                      </a:cNvSpPr>
                    </a:nvSpPr>
                    <a:spPr bwMode="auto">
                      <a:xfrm>
                        <a:off x="7121525" y="2314575"/>
                        <a:ext cx="1501775" cy="400050"/>
                      </a:xfrm>
                      <a:prstGeom prst="rect">
                        <a:avLst/>
                      </a:prstGeom>
                      <a:solidFill>
                        <a:schemeClr val="accent1"/>
                      </a:solidFill>
                      <a:ln w="9525">
                        <a:noFill/>
                        <a:miter lim="800000"/>
                        <a:headEnd/>
                        <a:tailEnd/>
                      </a:ln>
                    </a:spPr>
                    <a:txSp>
                      <a:txBody>
                        <a:bodyPr wrap="none">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a:r>
                            <a:rPr lang="en-US" sz="2000">
                              <a:solidFill>
                                <a:srgbClr val="000099"/>
                              </a:solidFill>
                              <a:latin typeface="Comic Sans MS" pitchFamily="66" charset="0"/>
                              <a:cs typeface="Arial" pitchFamily="34" charset="0"/>
                            </a:rPr>
                            <a:t>Metastasis</a:t>
                          </a:r>
                        </a:p>
                      </a:txBody>
                      <a:useSpRect/>
                    </a:txSp>
                  </a:sp>
                  <a:sp>
                    <a:nvSpPr>
                      <a:cNvPr id="50183" name="Line 7"/>
                      <a:cNvSpPr>
                        <a:spLocks noChangeShapeType="1"/>
                      </a:cNvSpPr>
                    </a:nvSpPr>
                    <a:spPr bwMode="auto">
                      <a:xfrm>
                        <a:off x="2286000" y="2590800"/>
                        <a:ext cx="457200" cy="0"/>
                      </a:xfrm>
                      <a:prstGeom prst="line">
                        <a:avLst/>
                      </a:prstGeom>
                      <a:noFill/>
                      <a:ln w="28575">
                        <a:solidFill>
                          <a:srgbClr val="66FFFF"/>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84" name="Line 8"/>
                      <a:cNvSpPr>
                        <a:spLocks noChangeShapeType="1"/>
                      </a:cNvSpPr>
                    </a:nvSpPr>
                    <a:spPr bwMode="auto">
                      <a:xfrm>
                        <a:off x="4343400" y="2590800"/>
                        <a:ext cx="457200" cy="0"/>
                      </a:xfrm>
                      <a:prstGeom prst="line">
                        <a:avLst/>
                      </a:prstGeom>
                      <a:noFill/>
                      <a:ln w="28575">
                        <a:solidFill>
                          <a:srgbClr val="66FFFF"/>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85" name="Line 9"/>
                      <a:cNvSpPr>
                        <a:spLocks noChangeShapeType="1"/>
                      </a:cNvSpPr>
                    </a:nvSpPr>
                    <a:spPr bwMode="auto">
                      <a:xfrm>
                        <a:off x="6553200" y="2590800"/>
                        <a:ext cx="457200" cy="0"/>
                      </a:xfrm>
                      <a:prstGeom prst="line">
                        <a:avLst/>
                      </a:prstGeom>
                      <a:noFill/>
                      <a:ln w="28575">
                        <a:solidFill>
                          <a:srgbClr val="66FFFF"/>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86" name="Line 10"/>
                      <a:cNvSpPr>
                        <a:spLocks noChangeShapeType="1"/>
                      </a:cNvSpPr>
                    </a:nvSpPr>
                    <a:spPr bwMode="auto">
                      <a:xfrm>
                        <a:off x="1752600" y="3505200"/>
                        <a:ext cx="7086600" cy="0"/>
                      </a:xfrm>
                      <a:prstGeom prst="line">
                        <a:avLst/>
                      </a:prstGeom>
                      <a:noFill/>
                      <a:ln w="508000">
                        <a:solidFill>
                          <a:srgbClr val="800080"/>
                        </a:solidFill>
                        <a:round/>
                        <a:headEnd/>
                        <a:tailEnd type="triangle"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87" name="Text Box 11"/>
                      <a:cNvSpPr txBox="1">
                        <a:spLocks noChangeArrowheads="1"/>
                      </a:cNvSpPr>
                    </a:nvSpPr>
                    <a:spPr bwMode="auto">
                      <a:xfrm>
                        <a:off x="1752600" y="3222625"/>
                        <a:ext cx="6934200" cy="400050"/>
                      </a:xfrm>
                      <a:prstGeom prst="rect">
                        <a:avLst/>
                      </a:prstGeom>
                      <a:noFill/>
                      <a:ln w="9525">
                        <a:noFill/>
                        <a:miter lim="800000"/>
                        <a:headEnd/>
                        <a:tailEnd/>
                      </a:ln>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r>
                            <a:rPr lang="en-US" sz="2000" b="1">
                              <a:solidFill>
                                <a:srgbClr val="FFFF00"/>
                              </a:solidFill>
                              <a:latin typeface="Comic Sans MS" pitchFamily="66" charset="0"/>
                              <a:cs typeface="Arial" pitchFamily="34" charset="0"/>
                            </a:rPr>
                            <a:t>Accumulation of mutations in multiple genes</a:t>
                          </a:r>
                        </a:p>
                      </a:txBody>
                      <a:useSpRect/>
                    </a:txSp>
                  </a:sp>
                  <a:sp>
                    <a:nvSpPr>
                      <a:cNvPr id="50188" name="Text Box 12"/>
                      <a:cNvSpPr txBox="1">
                        <a:spLocks noChangeArrowheads="1"/>
                      </a:cNvSpPr>
                    </a:nvSpPr>
                    <a:spPr bwMode="auto">
                      <a:xfrm>
                        <a:off x="309563" y="4124325"/>
                        <a:ext cx="4583112" cy="2049463"/>
                      </a:xfrm>
                      <a:prstGeom prst="rect">
                        <a:avLst/>
                      </a:prstGeom>
                      <a:noFill/>
                      <a:ln w="9525">
                        <a:noFill/>
                        <a:miter lim="800000"/>
                        <a:headEnd/>
                        <a:tailEnd/>
                      </a:ln>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buFont typeface="Arial" pitchFamily="34" charset="0"/>
                            <a:buNone/>
                          </a:pPr>
                          <a:r>
                            <a:rPr lang="en-US" sz="3200" u="sng">
                              <a:solidFill>
                                <a:srgbClr val="006600"/>
                              </a:solidFill>
                              <a:latin typeface="Comic Sans MS" pitchFamily="66" charset="0"/>
                              <a:cs typeface="Arial" pitchFamily="34" charset="0"/>
                            </a:rPr>
                            <a:t>Oncogenes:</a:t>
                          </a:r>
                          <a:endParaRPr lang="en-US" sz="3200">
                            <a:solidFill>
                              <a:srgbClr val="006600"/>
                            </a:solidFill>
                            <a:latin typeface="Comic Sans MS" pitchFamily="66" charset="0"/>
                            <a:cs typeface="Arial" pitchFamily="34" charset="0"/>
                          </a:endParaRPr>
                        </a:p>
                        <a:p>
                          <a:pPr>
                            <a:buFont typeface="Arial" pitchFamily="34" charset="0"/>
                            <a:buNone/>
                          </a:pPr>
                          <a:r>
                            <a:rPr lang="en-US">
                              <a:solidFill>
                                <a:schemeClr val="bg1"/>
                              </a:solidFill>
                              <a:latin typeface="Comic Sans MS" pitchFamily="66" charset="0"/>
                              <a:cs typeface="Arial" pitchFamily="34" charset="0"/>
                            </a:rPr>
                            <a:t>(</a:t>
                          </a:r>
                          <a:r>
                            <a:rPr lang="en-US">
                              <a:latin typeface="Comic Sans MS" pitchFamily="66" charset="0"/>
                              <a:cs typeface="Arial" pitchFamily="34" charset="0"/>
                            </a:rPr>
                            <a:t>gain of function)</a:t>
                          </a:r>
                        </a:p>
                        <a:p>
                          <a:pPr>
                            <a:buFont typeface="Arial" pitchFamily="34" charset="0"/>
                            <a:buNone/>
                          </a:pPr>
                          <a:r>
                            <a:rPr lang="en-US">
                              <a:latin typeface="Comic Sans MS" pitchFamily="66" charset="0"/>
                              <a:cs typeface="Arial" pitchFamily="34" charset="0"/>
                            </a:rPr>
                            <a:t>=increased proliferation, etc.</a:t>
                          </a:r>
                        </a:p>
                      </a:txBody>
                      <a:useSpRect/>
                    </a:txSp>
                  </a:sp>
                  <a:sp>
                    <a:nvSpPr>
                      <a:cNvPr id="50189" name="Text Box 13"/>
                      <a:cNvSpPr txBox="1">
                        <a:spLocks noChangeArrowheads="1"/>
                      </a:cNvSpPr>
                    </a:nvSpPr>
                    <a:spPr bwMode="auto">
                      <a:xfrm>
                        <a:off x="4826000" y="4419600"/>
                        <a:ext cx="3733800" cy="2049463"/>
                      </a:xfrm>
                      <a:prstGeom prst="rect">
                        <a:avLst/>
                      </a:prstGeom>
                      <a:noFill/>
                      <a:ln w="9525">
                        <a:noFill/>
                        <a:miter lim="800000"/>
                        <a:headEnd/>
                        <a:tailEnd/>
                      </a:ln>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buFont typeface="Arial" pitchFamily="34" charset="0"/>
                            <a:buNone/>
                          </a:pPr>
                          <a:r>
                            <a:rPr lang="en-US" sz="3200" u="sng">
                              <a:solidFill>
                                <a:srgbClr val="006600"/>
                              </a:solidFill>
                              <a:latin typeface="Comic Sans MS" pitchFamily="66" charset="0"/>
                              <a:cs typeface="Arial" pitchFamily="34" charset="0"/>
                            </a:rPr>
                            <a:t>Tumor supressors:</a:t>
                          </a:r>
                          <a:endParaRPr lang="en-US" sz="3200">
                            <a:solidFill>
                              <a:srgbClr val="006600"/>
                            </a:solidFill>
                            <a:latin typeface="Comic Sans MS" pitchFamily="66" charset="0"/>
                            <a:cs typeface="Arial" pitchFamily="34" charset="0"/>
                          </a:endParaRPr>
                        </a:p>
                        <a:p>
                          <a:pPr>
                            <a:buFont typeface="Arial" pitchFamily="34" charset="0"/>
                            <a:buNone/>
                          </a:pPr>
                          <a:r>
                            <a:rPr lang="en-US">
                              <a:latin typeface="Comic Sans MS" pitchFamily="66" charset="0"/>
                              <a:cs typeface="Arial" pitchFamily="34" charset="0"/>
                            </a:rPr>
                            <a:t>(loss of function)</a:t>
                          </a:r>
                        </a:p>
                        <a:p>
                          <a:r>
                            <a:rPr lang="en-US">
                              <a:solidFill>
                                <a:schemeClr val="bg1"/>
                              </a:solidFill>
                              <a:latin typeface="Comic Sans MS" pitchFamily="66" charset="0"/>
                              <a:cs typeface="Arial" pitchFamily="34" charset="0"/>
                            </a:rPr>
                            <a:t>=loss of control: apoptosis, etc.</a:t>
                          </a:r>
                        </a:p>
                      </a:txBody>
                      <a:useSpRect/>
                    </a:txSp>
                  </a:sp>
                  <a:grpSp>
                    <a:nvGrpSpPr>
                      <a:cNvPr id="2" name="Group 14"/>
                      <a:cNvGrpSpPr>
                        <a:grpSpLocks/>
                      </a:cNvGrpSpPr>
                    </a:nvGrpSpPr>
                    <a:grpSpPr bwMode="auto">
                      <a:xfrm>
                        <a:off x="2438400" y="952500"/>
                        <a:ext cx="5334000" cy="2247900"/>
                        <a:chOff x="1536" y="600"/>
                        <a:chExt cx="3360" cy="1416"/>
                      </a:xfrm>
                    </a:grpSpPr>
                    <a:sp>
                      <a:nvSpPr>
                        <a:cNvPr id="50191" name="Text Box 15"/>
                        <a:cNvSpPr txBox="1">
                          <a:spLocks noChangeArrowheads="1"/>
                        </a:cNvSpPr>
                      </a:nvSpPr>
                      <a:spPr bwMode="auto">
                        <a:xfrm>
                          <a:off x="1632" y="732"/>
                          <a:ext cx="2744" cy="330"/>
                        </a:xfrm>
                        <a:prstGeom prst="rect">
                          <a:avLst/>
                        </a:prstGeom>
                        <a:solidFill>
                          <a:srgbClr val="F6CEFF"/>
                        </a:solidFill>
                        <a:ln w="9525">
                          <a:solidFill>
                            <a:srgbClr val="AD09C3"/>
                          </a:solidFill>
                          <a:miter lim="800000"/>
                          <a:headEnd/>
                          <a:tailEnd/>
                        </a:ln>
                      </a:spPr>
                      <a:txSp>
                        <a:txBody>
                          <a:bodyPr wrap="none">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r>
                              <a:rPr lang="en-US">
                                <a:solidFill>
                                  <a:srgbClr val="FF0000"/>
                                </a:solidFill>
                                <a:latin typeface="Comic Sans MS" pitchFamily="66" charset="0"/>
                                <a:cs typeface="Arial" pitchFamily="34" charset="0"/>
                              </a:rPr>
                              <a:t>Mismatch repair defects</a:t>
                            </a:r>
                          </a:p>
                        </a:txBody>
                        <a:useSpRect/>
                      </a:txSp>
                    </a:sp>
                    <a:sp>
                      <a:nvSpPr>
                        <a:cNvPr id="50192" name="Line 16"/>
                        <a:cNvSpPr>
                          <a:spLocks noChangeShapeType="1"/>
                        </a:cNvSpPr>
                      </a:nvSpPr>
                      <a:spPr bwMode="auto">
                        <a:xfrm flipH="1">
                          <a:off x="1536" y="1152"/>
                          <a:ext cx="480" cy="432"/>
                        </a:xfrm>
                        <a:prstGeom prst="line">
                          <a:avLst/>
                        </a:prstGeom>
                        <a:noFill/>
                        <a:ln w="28575">
                          <a:solidFill>
                            <a:srgbClr val="66FF33"/>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93" name="Line 17"/>
                        <a:cNvSpPr>
                          <a:spLocks noChangeShapeType="1"/>
                        </a:cNvSpPr>
                      </a:nvSpPr>
                      <a:spPr bwMode="auto">
                        <a:xfrm>
                          <a:off x="2832" y="1152"/>
                          <a:ext cx="0" cy="864"/>
                        </a:xfrm>
                        <a:prstGeom prst="line">
                          <a:avLst/>
                        </a:prstGeom>
                        <a:noFill/>
                        <a:ln w="28575">
                          <a:solidFill>
                            <a:srgbClr val="66FF33"/>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94" name="Line 18"/>
                        <a:cNvSpPr>
                          <a:spLocks noChangeShapeType="1"/>
                        </a:cNvSpPr>
                      </a:nvSpPr>
                      <a:spPr bwMode="auto">
                        <a:xfrm>
                          <a:off x="3696" y="1152"/>
                          <a:ext cx="576" cy="384"/>
                        </a:xfrm>
                        <a:prstGeom prst="line">
                          <a:avLst/>
                        </a:prstGeom>
                        <a:noFill/>
                        <a:ln w="28575">
                          <a:solidFill>
                            <a:srgbClr val="66FF33"/>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50195" name="Freeform 19"/>
                        <a:cNvSpPr>
                          <a:spLocks/>
                        </a:cNvSpPr>
                      </a:nvSpPr>
                      <a:spPr bwMode="auto">
                        <a:xfrm>
                          <a:off x="4368" y="600"/>
                          <a:ext cx="528" cy="624"/>
                        </a:xfrm>
                        <a:custGeom>
                          <a:avLst/>
                          <a:gdLst>
                            <a:gd name="T0" fmla="*/ 0 w 528"/>
                            <a:gd name="T1" fmla="*/ 90 h 744"/>
                            <a:gd name="T2" fmla="*/ 336 w 528"/>
                            <a:gd name="T3" fmla="*/ 102 h 744"/>
                            <a:gd name="T4" fmla="*/ 528 w 528"/>
                            <a:gd name="T5" fmla="*/ 61 h 744"/>
                            <a:gd name="T6" fmla="*/ 336 w 528"/>
                            <a:gd name="T7" fmla="*/ 6 h 744"/>
                            <a:gd name="T8" fmla="*/ 48 w 528"/>
                            <a:gd name="T9" fmla="*/ 27 h 744"/>
                            <a:gd name="T10" fmla="*/ 0 60000 65536"/>
                            <a:gd name="T11" fmla="*/ 0 60000 65536"/>
                            <a:gd name="T12" fmla="*/ 0 60000 65536"/>
                            <a:gd name="T13" fmla="*/ 0 60000 65536"/>
                            <a:gd name="T14" fmla="*/ 0 60000 65536"/>
                            <a:gd name="T15" fmla="*/ 0 w 528"/>
                            <a:gd name="T16" fmla="*/ 0 h 744"/>
                            <a:gd name="T17" fmla="*/ 528 w 528"/>
                            <a:gd name="T18" fmla="*/ 744 h 744"/>
                          </a:gdLst>
                          <a:ahLst/>
                          <a:cxnLst>
                            <a:cxn ang="T10">
                              <a:pos x="T0" y="T1"/>
                            </a:cxn>
                            <a:cxn ang="T11">
                              <a:pos x="T2" y="T3"/>
                            </a:cxn>
                            <a:cxn ang="T12">
                              <a:pos x="T4" y="T5"/>
                            </a:cxn>
                            <a:cxn ang="T13">
                              <a:pos x="T6" y="T7"/>
                            </a:cxn>
                            <a:cxn ang="T14">
                              <a:pos x="T8" y="T9"/>
                            </a:cxn>
                          </a:cxnLst>
                          <a:rect l="T15" t="T16" r="T17" b="T18"/>
                          <a:pathLst>
                            <a:path w="528" h="744">
                              <a:moveTo>
                                <a:pt x="0" y="616"/>
                              </a:moveTo>
                              <a:cubicBezTo>
                                <a:pt x="124" y="680"/>
                                <a:pt x="248" y="744"/>
                                <a:pt x="336" y="712"/>
                              </a:cubicBezTo>
                              <a:cubicBezTo>
                                <a:pt x="424" y="680"/>
                                <a:pt x="528" y="536"/>
                                <a:pt x="528" y="424"/>
                              </a:cubicBezTo>
                              <a:cubicBezTo>
                                <a:pt x="528" y="312"/>
                                <a:pt x="416" y="80"/>
                                <a:pt x="336" y="40"/>
                              </a:cubicBezTo>
                              <a:cubicBezTo>
                                <a:pt x="256" y="0"/>
                                <a:pt x="152" y="92"/>
                                <a:pt x="48" y="184"/>
                              </a:cubicBezTo>
                            </a:path>
                          </a:pathLst>
                        </a:custGeom>
                        <a:noFill/>
                        <a:ln w="28575">
                          <a:solidFill>
                            <a:srgbClr val="66FF33"/>
                          </a:solidFill>
                          <a:round/>
                          <a:headEnd/>
                          <a:tailEnd type="arrow" w="med" len="med"/>
                        </a:ln>
                      </a:spPr>
                      <a:txSp>
                        <a:txBody>
                          <a:bodyPr wrap="none" anchor="ct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grpSp>
                </lc:lockedCanvas>
              </a:graphicData>
            </a:graphic>
          </wp:inline>
        </w:drawing>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t>Mismatch repair may also be not functioning which may result in serious problems.</w:t>
      </w:r>
      <w:r w:rsidR="00110802" w:rsidRPr="00BD7F78">
        <w:rPr>
          <w:rFonts w:asciiTheme="majorBidi" w:hAnsiTheme="majorBidi" w:cstheme="majorBidi"/>
          <w:sz w:val="28"/>
          <w:szCs w:val="28"/>
        </w:rPr>
        <w:br/>
      </w:r>
      <w:r w:rsidR="00110802" w:rsidRPr="00BD7F78">
        <w:rPr>
          <w:rFonts w:asciiTheme="majorBidi" w:hAnsiTheme="majorBidi" w:cstheme="majorBidi"/>
          <w:sz w:val="28"/>
          <w:szCs w:val="28"/>
        </w:rPr>
        <w:br/>
      </w:r>
      <w:r w:rsidR="00110802" w:rsidRPr="00BD7F78">
        <w:rPr>
          <w:rFonts w:asciiTheme="majorBidi" w:hAnsiTheme="majorBidi" w:cstheme="majorBidi"/>
          <w:noProof/>
          <w:sz w:val="28"/>
          <w:szCs w:val="28"/>
        </w:rPr>
        <w:drawing>
          <wp:inline distT="0" distB="0" distL="0" distR="0">
            <wp:extent cx="4010025" cy="2171700"/>
            <wp:effectExtent l="1905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23263" cy="5562600"/>
                      <a:chOff x="409575" y="304800"/>
                      <a:chExt cx="8323263" cy="5562600"/>
                    </a:xfrm>
                  </a:grpSpPr>
                  <a:sp>
                    <a:nvSpPr>
                      <a:cNvPr id="51202" name="Rectangle 2"/>
                      <a:cNvSpPr>
                        <a:spLocks noGrp="1" noChangeArrowheads="1"/>
                      </a:cNvSpPr>
                    </a:nvSpPr>
                    <a:spPr bwMode="auto">
                      <a:xfrm>
                        <a:off x="685800" y="304800"/>
                        <a:ext cx="7772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2pPr>
                          <a:lvl3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3pPr>
                          <a:lvl4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4pPr>
                          <a:lvl5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5pPr>
                          <a:lvl6pPr marL="457200" algn="ctr" rtl="0" fontAlgn="base">
                            <a:spcBef>
                              <a:spcPct val="0"/>
                            </a:spcBef>
                            <a:spcAft>
                              <a:spcPct val="0"/>
                            </a:spcAft>
                            <a:defRPr sz="4400">
                              <a:solidFill>
                                <a:schemeClr val="tx2"/>
                              </a:solidFill>
                              <a:latin typeface="Arial" charset="0"/>
                              <a:ea typeface="ＭＳ Ｐゴシック" charset="-128"/>
                              <a:cs typeface="ＭＳ Ｐゴシック" charset="-128"/>
                            </a:defRPr>
                          </a:lvl6pPr>
                          <a:lvl7pPr marL="914400" algn="ctr" rtl="0" fontAlgn="base">
                            <a:spcBef>
                              <a:spcPct val="0"/>
                            </a:spcBef>
                            <a:spcAft>
                              <a:spcPct val="0"/>
                            </a:spcAft>
                            <a:defRPr sz="4400">
                              <a:solidFill>
                                <a:schemeClr val="tx2"/>
                              </a:solidFill>
                              <a:latin typeface="Arial" charset="0"/>
                              <a:ea typeface="ＭＳ Ｐゴシック" charset="-128"/>
                              <a:cs typeface="ＭＳ Ｐゴシック" charset="-128"/>
                            </a:defRPr>
                          </a:lvl7pPr>
                          <a:lvl8pPr marL="1371600" algn="ctr" rtl="0" fontAlgn="base">
                            <a:spcBef>
                              <a:spcPct val="0"/>
                            </a:spcBef>
                            <a:spcAft>
                              <a:spcPct val="0"/>
                            </a:spcAft>
                            <a:defRPr sz="4400">
                              <a:solidFill>
                                <a:schemeClr val="tx2"/>
                              </a:solidFill>
                              <a:latin typeface="Arial" charset="0"/>
                              <a:ea typeface="ＭＳ Ｐゴシック" charset="-128"/>
                              <a:cs typeface="ＭＳ Ｐゴシック" charset="-128"/>
                            </a:defRPr>
                          </a:lvl8pPr>
                          <a:lvl9pPr marL="1828800" algn="ctr" rtl="0" fontAlgn="base">
                            <a:spcBef>
                              <a:spcPct val="0"/>
                            </a:spcBef>
                            <a:spcAft>
                              <a:spcPct val="0"/>
                            </a:spcAft>
                            <a:defRPr sz="4400">
                              <a:solidFill>
                                <a:schemeClr val="tx2"/>
                              </a:solidFill>
                              <a:latin typeface="Arial" charset="0"/>
                              <a:ea typeface="ＭＳ Ｐゴシック" charset="-128"/>
                              <a:cs typeface="ＭＳ Ｐゴシック" charset="-128"/>
                            </a:defRPr>
                          </a:lvl9pPr>
                        </a:lstStyle>
                        <a:p>
                          <a:pPr eaLnBrk="1" hangingPunct="1"/>
                          <a:r>
                            <a:rPr lang="en-US" sz="4000" smtClean="0">
                              <a:solidFill>
                                <a:srgbClr val="0033CC"/>
                              </a:solidFill>
                            </a:rPr>
                            <a:t>Pathway to Androgen-Independent Prostate Cancer</a:t>
                          </a:r>
                        </a:p>
                      </a:txBody>
                      <a:useSpRect/>
                    </a:txSp>
                  </a:sp>
                  <a:pic>
                    <a:nvPicPr>
                      <a:cNvPr id="51203" name="Picture 2" descr="snu6_fig_21_10b"/>
                      <a:cNvPicPr>
                        <a:picLocks noGrp="1" noChangeAspect="1" noChangeArrowheads="1"/>
                      </a:cNvPicPr>
                    </a:nvPicPr>
                    <a:blipFill>
                      <a:blip r:embed="rId9"/>
                      <a:srcRect/>
                      <a:stretch>
                        <a:fillRect/>
                      </a:stretch>
                    </a:blipFill>
                    <a:spPr bwMode="auto">
                      <a:xfrm>
                        <a:off x="409575" y="1676400"/>
                        <a:ext cx="8323263" cy="4191000"/>
                      </a:xfrm>
                      <a:prstGeom prst="rect">
                        <a:avLst/>
                      </a:prstGeom>
                      <a:noFill/>
                      <a:ln w="9525">
                        <a:noFill/>
                        <a:miter lim="800000"/>
                        <a:headEnd/>
                        <a:tailEnd/>
                      </a:ln>
                    </a:spPr>
                  </a:pic>
                </lc:lockedCanvas>
              </a:graphicData>
            </a:graphic>
          </wp:inline>
        </w:drawing>
      </w:r>
      <w:r w:rsidR="00110802" w:rsidRPr="00BD7F78">
        <w:rPr>
          <w:rFonts w:asciiTheme="majorBidi" w:hAnsiTheme="majorBidi" w:cstheme="majorBidi"/>
          <w:sz w:val="28"/>
          <w:szCs w:val="28"/>
        </w:rPr>
        <w:br/>
        <w:t>Within the same family different cancers may be present.</w:t>
      </w:r>
      <w:r w:rsidR="00110802" w:rsidRPr="00BD7F78">
        <w:rPr>
          <w:rFonts w:asciiTheme="majorBidi" w:hAnsiTheme="majorBidi" w:cstheme="majorBidi"/>
          <w:sz w:val="28"/>
          <w:szCs w:val="28"/>
        </w:rPr>
        <w:br/>
      </w:r>
      <w:r w:rsidR="00110802" w:rsidRPr="00BD7F78">
        <w:rPr>
          <w:rFonts w:asciiTheme="majorBidi" w:hAnsiTheme="majorBidi" w:cstheme="majorBidi"/>
          <w:noProof/>
          <w:sz w:val="28"/>
          <w:szCs w:val="28"/>
        </w:rPr>
        <w:lastRenderedPageBreak/>
        <w:drawing>
          <wp:inline distT="0" distB="0" distL="0" distR="0">
            <wp:extent cx="3733800" cy="2543175"/>
            <wp:effectExtent l="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638800"/>
                      <a:chOff x="381000" y="304800"/>
                      <a:chExt cx="8305800" cy="5638800"/>
                    </a:xfrm>
                  </a:grpSpPr>
                  <a:sp>
                    <a:nvSpPr>
                      <a:cNvPr id="52226" name="Title 1"/>
                      <a:cNvSpPr>
                        <a:spLocks noGrp="1"/>
                      </a:cNvSpPr>
                    </a:nvSpPr>
                    <a:spPr bwMode="auto">
                      <a:xfrm>
                        <a:off x="685800" y="304800"/>
                        <a:ext cx="7772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2pPr>
                          <a:lvl3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3pPr>
                          <a:lvl4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4pPr>
                          <a:lvl5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5pPr>
                          <a:lvl6pPr marL="457200" algn="ctr" rtl="0" fontAlgn="base">
                            <a:spcBef>
                              <a:spcPct val="0"/>
                            </a:spcBef>
                            <a:spcAft>
                              <a:spcPct val="0"/>
                            </a:spcAft>
                            <a:defRPr sz="4400">
                              <a:solidFill>
                                <a:schemeClr val="tx2"/>
                              </a:solidFill>
                              <a:latin typeface="Arial" charset="0"/>
                              <a:ea typeface="ＭＳ Ｐゴシック" charset="-128"/>
                              <a:cs typeface="ＭＳ Ｐゴシック" charset="-128"/>
                            </a:defRPr>
                          </a:lvl6pPr>
                          <a:lvl7pPr marL="914400" algn="ctr" rtl="0" fontAlgn="base">
                            <a:spcBef>
                              <a:spcPct val="0"/>
                            </a:spcBef>
                            <a:spcAft>
                              <a:spcPct val="0"/>
                            </a:spcAft>
                            <a:defRPr sz="4400">
                              <a:solidFill>
                                <a:schemeClr val="tx2"/>
                              </a:solidFill>
                              <a:latin typeface="Arial" charset="0"/>
                              <a:ea typeface="ＭＳ Ｐゴシック" charset="-128"/>
                              <a:cs typeface="ＭＳ Ｐゴシック" charset="-128"/>
                            </a:defRPr>
                          </a:lvl7pPr>
                          <a:lvl8pPr marL="1371600" algn="ctr" rtl="0" fontAlgn="base">
                            <a:spcBef>
                              <a:spcPct val="0"/>
                            </a:spcBef>
                            <a:spcAft>
                              <a:spcPct val="0"/>
                            </a:spcAft>
                            <a:defRPr sz="4400">
                              <a:solidFill>
                                <a:schemeClr val="tx2"/>
                              </a:solidFill>
                              <a:latin typeface="Arial" charset="0"/>
                              <a:ea typeface="ＭＳ Ｐゴシック" charset="-128"/>
                              <a:cs typeface="ＭＳ Ｐゴシック" charset="-128"/>
                            </a:defRPr>
                          </a:lvl8pPr>
                          <a:lvl9pPr marL="1828800" algn="ctr" rtl="0" fontAlgn="base">
                            <a:spcBef>
                              <a:spcPct val="0"/>
                            </a:spcBef>
                            <a:spcAft>
                              <a:spcPct val="0"/>
                            </a:spcAft>
                            <a:defRPr sz="4400">
                              <a:solidFill>
                                <a:schemeClr val="tx2"/>
                              </a:solidFill>
                              <a:latin typeface="Arial" charset="0"/>
                              <a:ea typeface="ＭＳ Ｐゴシック" charset="-128"/>
                              <a:cs typeface="ＭＳ Ｐゴシック" charset="-128"/>
                            </a:defRPr>
                          </a:lvl9pPr>
                        </a:lstStyle>
                        <a:p>
                          <a:r>
                            <a:rPr lang="en-US" smtClean="0">
                              <a:solidFill>
                                <a:srgbClr val="0033CC"/>
                              </a:solidFill>
                              <a:latin typeface="Arial Rounded MT Bold" pitchFamily="34" charset="0"/>
                            </a:rPr>
                            <a:t>Retinoblastoma</a:t>
                          </a:r>
                        </a:p>
                      </a:txBody>
                      <a:useSpRect/>
                    </a:txSp>
                  </a:sp>
                  <a:sp>
                    <a:nvSpPr>
                      <a:cNvPr id="52227" name="Content Placeholder 2"/>
                      <a:cNvSpPr>
                        <a:spLocks noGrp="1"/>
                      </a:cNvSpPr>
                    </a:nvSpPr>
                    <a:spPr bwMode="auto">
                      <a:xfrm>
                        <a:off x="381000" y="1295400"/>
                        <a:ext cx="83058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har char="–"/>
                            <a:defRPr sz="2800">
                              <a:solidFill>
                                <a:schemeClr val="tx1"/>
                              </a:solidFill>
                              <a:latin typeface="+mn-lt"/>
                              <a:ea typeface="+mn-ea"/>
                            </a:defRPr>
                          </a:lvl2pPr>
                          <a:lvl3pPr marL="1143000" indent="-228600" algn="l" rtl="0" eaLnBrk="0" fontAlgn="base" hangingPunct="0">
                            <a:spcBef>
                              <a:spcPct val="20000"/>
                            </a:spcBef>
                            <a:spcAft>
                              <a:spcPct val="0"/>
                            </a:spcAft>
                            <a:buChar char="•"/>
                            <a:defRPr sz="2400">
                              <a:solidFill>
                                <a:schemeClr val="tx1"/>
                              </a:solidFill>
                              <a:latin typeface="+mn-lt"/>
                              <a:ea typeface="+mn-ea"/>
                            </a:defRPr>
                          </a:lvl3pPr>
                          <a:lvl4pPr marL="1600200" indent="-228600" algn="l" rtl="0" eaLnBrk="0" fontAlgn="base" hangingPunct="0">
                            <a:spcBef>
                              <a:spcPct val="20000"/>
                            </a:spcBef>
                            <a:spcAft>
                              <a:spcPct val="0"/>
                            </a:spcAft>
                            <a:buChar char="–"/>
                            <a:defRPr sz="2000">
                              <a:solidFill>
                                <a:schemeClr val="tx1"/>
                              </a:solidFill>
                              <a:latin typeface="+mn-lt"/>
                              <a:ea typeface="+mn-ea"/>
                            </a:defRPr>
                          </a:lvl4pPr>
                          <a:lvl5pPr marL="2057400" indent="-228600" algn="l" rtl="0" eaLnBrk="0" fontAlgn="base" hangingPunct="0">
                            <a:spcBef>
                              <a:spcPct val="20000"/>
                            </a:spcBef>
                            <a:spcAft>
                              <a:spcPct val="0"/>
                            </a:spcAft>
                            <a:buChar char="»"/>
                            <a:defRPr sz="2000">
                              <a:solidFill>
                                <a:schemeClr val="tx1"/>
                              </a:solidFill>
                              <a:latin typeface="+mn-lt"/>
                              <a:ea typeface="+mn-ea"/>
                            </a:defRPr>
                          </a:lvl5pPr>
                          <a:lvl6pPr marL="2514600" indent="-228600" algn="l" rtl="0" fontAlgn="base">
                            <a:spcBef>
                              <a:spcPct val="20000"/>
                            </a:spcBef>
                            <a:spcAft>
                              <a:spcPct val="0"/>
                            </a:spcAft>
                            <a:buChar char="»"/>
                            <a:defRPr sz="2000">
                              <a:solidFill>
                                <a:schemeClr val="tx1"/>
                              </a:solidFill>
                              <a:latin typeface="+mn-lt"/>
                              <a:ea typeface="+mn-ea"/>
                            </a:defRPr>
                          </a:lvl6pPr>
                          <a:lvl7pPr marL="2971800" indent="-228600" algn="l" rtl="0" fontAlgn="base">
                            <a:spcBef>
                              <a:spcPct val="20000"/>
                            </a:spcBef>
                            <a:spcAft>
                              <a:spcPct val="0"/>
                            </a:spcAft>
                            <a:buChar char="»"/>
                            <a:defRPr sz="2000">
                              <a:solidFill>
                                <a:schemeClr val="tx1"/>
                              </a:solidFill>
                              <a:latin typeface="+mn-lt"/>
                              <a:ea typeface="+mn-ea"/>
                            </a:defRPr>
                          </a:lvl7pPr>
                          <a:lvl8pPr marL="3429000" indent="-228600" algn="l" rtl="0" fontAlgn="base">
                            <a:spcBef>
                              <a:spcPct val="20000"/>
                            </a:spcBef>
                            <a:spcAft>
                              <a:spcPct val="0"/>
                            </a:spcAft>
                            <a:buChar char="»"/>
                            <a:defRPr sz="2000">
                              <a:solidFill>
                                <a:schemeClr val="tx1"/>
                              </a:solidFill>
                              <a:latin typeface="+mn-lt"/>
                              <a:ea typeface="+mn-ea"/>
                            </a:defRPr>
                          </a:lvl8pPr>
                          <a:lvl9pPr marL="3886200" indent="-228600" algn="l" rtl="0" fontAlgn="base">
                            <a:spcBef>
                              <a:spcPct val="20000"/>
                            </a:spcBef>
                            <a:spcAft>
                              <a:spcPct val="0"/>
                            </a:spcAft>
                            <a:buChar char="»"/>
                            <a:defRPr sz="2000">
                              <a:solidFill>
                                <a:schemeClr val="tx1"/>
                              </a:solidFill>
                              <a:latin typeface="+mn-lt"/>
                              <a:ea typeface="+mn-ea"/>
                            </a:defRPr>
                          </a:lvl9pPr>
                        </a:lstStyle>
                        <a:p>
                          <a:pPr>
                            <a:buFontTx/>
                            <a:buNone/>
                          </a:pPr>
                          <a:r>
                            <a:rPr lang="en-US" sz="2800" smtClean="0"/>
                            <a:t>• Deletions 13q14 or mutations of the RB1 gene</a:t>
                          </a:r>
                        </a:p>
                        <a:p>
                          <a:pPr>
                            <a:buFontTx/>
                            <a:buNone/>
                          </a:pPr>
                          <a:r>
                            <a:rPr lang="en-US" sz="2800" smtClean="0"/>
                            <a:t>• Cell cycle regulatory protein that inhibits G1 to S phase transition</a:t>
                          </a:r>
                        </a:p>
                        <a:p>
                          <a:pPr>
                            <a:buFontTx/>
                            <a:buNone/>
                          </a:pPr>
                          <a:r>
                            <a:rPr lang="en-US" sz="2800" smtClean="0"/>
                            <a:t>• 80% de novo mutations</a:t>
                          </a:r>
                        </a:p>
                        <a:p>
                          <a:pPr>
                            <a:buFontTx/>
                            <a:buNone/>
                          </a:pPr>
                          <a:r>
                            <a:rPr lang="en-US" sz="2800" smtClean="0"/>
                            <a:t>• High rate of loss of heterozygosity in tumor</a:t>
                          </a:r>
                        </a:p>
                        <a:p>
                          <a:pPr>
                            <a:buFontTx/>
                            <a:buNone/>
                          </a:pPr>
                          <a:r>
                            <a:rPr lang="en-US" sz="2800" smtClean="0"/>
                            <a:t>tissue</a:t>
                          </a:r>
                        </a:p>
                      </a:txBody>
                      <a:useSpRect/>
                    </a:txSp>
                  </a:sp>
                  <a:pic>
                    <a:nvPicPr>
                      <a:cNvPr id="52228" name="Picture 1"/>
                      <a:cNvPicPr>
                        <a:picLocks noChangeAspect="1" noChangeArrowheads="1"/>
                      </a:cNvPicPr>
                    </a:nvPicPr>
                    <a:blipFill>
                      <a:blip r:embed="rId10"/>
                      <a:srcRect/>
                      <a:stretch>
                        <a:fillRect/>
                      </a:stretch>
                    </a:blipFill>
                    <a:spPr bwMode="auto">
                      <a:xfrm>
                        <a:off x="3657600" y="4038600"/>
                        <a:ext cx="4314825" cy="1905000"/>
                      </a:xfrm>
                      <a:prstGeom prst="rect">
                        <a:avLst/>
                      </a:prstGeom>
                      <a:noFill/>
                      <a:ln w="9525">
                        <a:noFill/>
                        <a:miter lim="800000"/>
                        <a:headEnd/>
                        <a:tailEnd/>
                      </a:ln>
                    </a:spPr>
                  </a:pic>
                  <a:pic>
                    <a:nvPicPr>
                      <a:cNvPr id="52229" name="Picture 3"/>
                      <a:cNvPicPr>
                        <a:picLocks noChangeAspect="1" noChangeArrowheads="1"/>
                      </a:cNvPicPr>
                    </a:nvPicPr>
                    <a:blipFill>
                      <a:blip r:embed="rId11"/>
                      <a:srcRect/>
                      <a:stretch>
                        <a:fillRect/>
                      </a:stretch>
                    </a:blipFill>
                    <a:spPr bwMode="auto">
                      <a:xfrm>
                        <a:off x="863600" y="4424363"/>
                        <a:ext cx="2746375" cy="1447800"/>
                      </a:xfrm>
                      <a:prstGeom prst="rect">
                        <a:avLst/>
                      </a:prstGeom>
                      <a:noFill/>
                      <a:ln w="9525">
                        <a:noFill/>
                        <a:miter lim="800000"/>
                        <a:headEnd/>
                        <a:tailEnd/>
                      </a:ln>
                    </a:spPr>
                  </a:pic>
                </lc:lockedCanvas>
              </a:graphicData>
            </a:graphic>
          </wp:inline>
        </w:drawing>
      </w:r>
      <w:r w:rsidR="00110802" w:rsidRPr="00BD7F78">
        <w:rPr>
          <w:rFonts w:asciiTheme="majorBidi" w:hAnsiTheme="majorBidi" w:cstheme="majorBidi"/>
          <w:sz w:val="28"/>
          <w:szCs w:val="28"/>
        </w:rPr>
        <w:br/>
      </w:r>
      <w:r w:rsidR="00703E4C" w:rsidRPr="00BD7F78">
        <w:rPr>
          <w:rFonts w:asciiTheme="majorBidi" w:hAnsiTheme="majorBidi" w:cstheme="majorBidi"/>
          <w:sz w:val="28"/>
          <w:szCs w:val="28"/>
        </w:rPr>
        <w:t xml:space="preserve">Loss of </w:t>
      </w:r>
      <w:proofErr w:type="spellStart"/>
      <w:r w:rsidR="00703E4C" w:rsidRPr="00BD7F78">
        <w:rPr>
          <w:rFonts w:asciiTheme="majorBidi" w:hAnsiTheme="majorBidi" w:cstheme="majorBidi"/>
          <w:sz w:val="28"/>
          <w:szCs w:val="28"/>
        </w:rPr>
        <w:t>heterozygosity</w:t>
      </w:r>
      <w:proofErr w:type="spellEnd"/>
      <w:r w:rsidR="00703E4C" w:rsidRPr="00BD7F78">
        <w:rPr>
          <w:rFonts w:asciiTheme="majorBidi" w:hAnsiTheme="majorBidi" w:cstheme="majorBidi"/>
          <w:sz w:val="28"/>
          <w:szCs w:val="28"/>
        </w:rPr>
        <w:t xml:space="preserve"> means the loss of 1 allele.</w:t>
      </w:r>
      <w:r w:rsidR="00703E4C" w:rsidRPr="00BD7F78">
        <w:rPr>
          <w:rFonts w:asciiTheme="majorBidi" w:hAnsiTheme="majorBidi" w:cstheme="majorBidi"/>
          <w:sz w:val="28"/>
          <w:szCs w:val="28"/>
        </w:rPr>
        <w:br/>
      </w:r>
      <w:r w:rsidR="00110802" w:rsidRPr="00BD7F78">
        <w:rPr>
          <w:rFonts w:asciiTheme="majorBidi" w:hAnsiTheme="majorBidi" w:cstheme="majorBidi"/>
          <w:sz w:val="28"/>
          <w:szCs w:val="28"/>
        </w:rPr>
        <w:t>Retinoblastoma has two types; inherited and sporadic.</w:t>
      </w:r>
      <w:r w:rsidR="00110802" w:rsidRPr="00BD7F78">
        <w:rPr>
          <w:rFonts w:asciiTheme="majorBidi" w:hAnsiTheme="majorBidi" w:cstheme="majorBidi"/>
          <w:sz w:val="28"/>
          <w:szCs w:val="28"/>
        </w:rPr>
        <w:br/>
        <w:t>In sporadic</w:t>
      </w:r>
      <w:r w:rsidR="00703E4C" w:rsidRPr="00BD7F78">
        <w:rPr>
          <w:rFonts w:asciiTheme="majorBidi" w:hAnsiTheme="majorBidi" w:cstheme="majorBidi"/>
          <w:sz w:val="28"/>
          <w:szCs w:val="28"/>
        </w:rPr>
        <w:t xml:space="preserve"> type the baby is born with two normal genes, with time one gene can get damaged, then after a while the other gene may be mutated then retinoblastoma will result.</w:t>
      </w:r>
      <w:r w:rsidR="00703E4C" w:rsidRPr="00BD7F78">
        <w:rPr>
          <w:rFonts w:asciiTheme="majorBidi" w:hAnsiTheme="majorBidi" w:cstheme="majorBidi"/>
          <w:sz w:val="28"/>
          <w:szCs w:val="28"/>
        </w:rPr>
        <w:br/>
        <w:t>In the inherited type the newborn will have an abnormal gene inherited from his parents and with time he will get other abnormal gene so the tumor will result faster than in the sporadic type.</w:t>
      </w:r>
      <w:r w:rsidR="00703E4C" w:rsidRPr="00BD7F78">
        <w:rPr>
          <w:rFonts w:asciiTheme="majorBidi" w:hAnsiTheme="majorBidi" w:cstheme="majorBidi"/>
          <w:sz w:val="28"/>
          <w:szCs w:val="28"/>
        </w:rPr>
        <w:br/>
      </w:r>
      <w:r w:rsidR="00703E4C" w:rsidRPr="00BD7F78">
        <w:rPr>
          <w:rFonts w:asciiTheme="majorBidi" w:hAnsiTheme="majorBidi" w:cstheme="majorBidi"/>
          <w:sz w:val="28"/>
          <w:szCs w:val="28"/>
        </w:rPr>
        <w:br/>
        <w:t>Breast cancer is number 1 tumor in women in Jordan, it has inherited tendency</w:t>
      </w:r>
      <w:r w:rsidR="00703E4C" w:rsidRPr="00BD7F78">
        <w:rPr>
          <w:rFonts w:asciiTheme="majorBidi" w:hAnsiTheme="majorBidi" w:cstheme="majorBidi"/>
          <w:sz w:val="28"/>
          <w:szCs w:val="28"/>
        </w:rPr>
        <w:br/>
      </w:r>
      <w:r w:rsidR="00703E4C" w:rsidRPr="00BD7F78">
        <w:rPr>
          <w:rFonts w:asciiTheme="majorBidi" w:hAnsiTheme="majorBidi" w:cstheme="majorBidi"/>
          <w:noProof/>
          <w:sz w:val="28"/>
          <w:szCs w:val="28"/>
        </w:rPr>
        <w:drawing>
          <wp:inline distT="0" distB="0" distL="0" distR="0">
            <wp:extent cx="3686175" cy="2466975"/>
            <wp:effectExtent l="19050" t="0" r="9525" b="0"/>
            <wp:docPr id="8" name="Picture 8"/>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12" cstate="print"/>
                    <a:srcRect/>
                    <a:stretch>
                      <a:fillRect/>
                    </a:stretch>
                  </pic:blipFill>
                  <pic:spPr bwMode="auto">
                    <a:xfrm>
                      <a:off x="0" y="0"/>
                      <a:ext cx="3686175" cy="2466975"/>
                    </a:xfrm>
                    <a:prstGeom prst="rect">
                      <a:avLst/>
                    </a:prstGeom>
                    <a:noFill/>
                    <a:ln w="9525">
                      <a:noFill/>
                      <a:miter lim="800000"/>
                      <a:headEnd/>
                      <a:tailEnd/>
                    </a:ln>
                  </pic:spPr>
                </pic:pic>
              </a:graphicData>
            </a:graphic>
          </wp:inline>
        </w:drawing>
      </w:r>
      <w:r w:rsidR="00703E4C" w:rsidRPr="00BD7F78">
        <w:rPr>
          <w:rFonts w:asciiTheme="majorBidi" w:hAnsiTheme="majorBidi" w:cstheme="majorBidi"/>
          <w:sz w:val="28"/>
          <w:szCs w:val="28"/>
        </w:rPr>
        <w:br/>
      </w:r>
      <w:r w:rsidR="00703E4C" w:rsidRPr="00BD7F78">
        <w:rPr>
          <w:rFonts w:asciiTheme="majorBidi" w:hAnsiTheme="majorBidi" w:cstheme="majorBidi"/>
          <w:sz w:val="28"/>
          <w:szCs w:val="28"/>
        </w:rPr>
        <w:br/>
      </w:r>
      <w:proofErr w:type="gramStart"/>
      <w:r w:rsidR="00703E4C" w:rsidRPr="00BD7F78">
        <w:rPr>
          <w:rFonts w:asciiTheme="majorBidi" w:hAnsiTheme="majorBidi" w:cstheme="majorBidi"/>
          <w:sz w:val="28"/>
          <w:szCs w:val="28"/>
        </w:rPr>
        <w:t>In</w:t>
      </w:r>
      <w:proofErr w:type="gramEnd"/>
      <w:r w:rsidR="00703E4C" w:rsidRPr="00BD7F78">
        <w:rPr>
          <w:rFonts w:asciiTheme="majorBidi" w:hAnsiTheme="majorBidi" w:cstheme="majorBidi"/>
          <w:sz w:val="28"/>
          <w:szCs w:val="28"/>
        </w:rPr>
        <w:t xml:space="preserve"> familial types chromosome 16 will have the mutation.</w:t>
      </w:r>
      <w:r w:rsidR="00703E4C" w:rsidRPr="00BD7F78">
        <w:rPr>
          <w:rFonts w:asciiTheme="majorBidi" w:hAnsiTheme="majorBidi" w:cstheme="majorBidi"/>
          <w:sz w:val="28"/>
          <w:szCs w:val="28"/>
        </w:rPr>
        <w:br/>
      </w:r>
      <w:r w:rsidR="00703E4C" w:rsidRPr="00BD7F78">
        <w:rPr>
          <w:rFonts w:asciiTheme="majorBidi" w:hAnsiTheme="majorBidi" w:cstheme="majorBidi"/>
          <w:sz w:val="28"/>
          <w:szCs w:val="28"/>
        </w:rPr>
        <w:br/>
      </w:r>
      <w:proofErr w:type="gramStart"/>
      <w:r w:rsidR="00703E4C" w:rsidRPr="00BD7F78">
        <w:rPr>
          <w:rFonts w:asciiTheme="majorBidi" w:hAnsiTheme="majorBidi" w:cstheme="majorBidi"/>
          <w:sz w:val="28"/>
          <w:szCs w:val="28"/>
        </w:rPr>
        <w:lastRenderedPageBreak/>
        <w:t>Chromosomes.</w:t>
      </w:r>
      <w:proofErr w:type="gramEnd"/>
      <w:r w:rsidR="00703E4C" w:rsidRPr="00BD7F78">
        <w:rPr>
          <w:rFonts w:asciiTheme="majorBidi" w:hAnsiTheme="majorBidi" w:cstheme="majorBidi"/>
          <w:sz w:val="28"/>
          <w:szCs w:val="28"/>
        </w:rPr>
        <w:br/>
        <w:t>When mitoses happen chromosomal abnormalities might happen “</w:t>
      </w:r>
      <w:proofErr w:type="spellStart"/>
      <w:r w:rsidR="00703E4C" w:rsidRPr="00BD7F78">
        <w:rPr>
          <w:rFonts w:asciiTheme="majorBidi" w:hAnsiTheme="majorBidi" w:cstheme="majorBidi"/>
          <w:sz w:val="28"/>
          <w:szCs w:val="28"/>
        </w:rPr>
        <w:t>nondisjunction</w:t>
      </w:r>
      <w:proofErr w:type="spellEnd"/>
      <w:r w:rsidR="00703E4C" w:rsidRPr="00BD7F78">
        <w:rPr>
          <w:rFonts w:asciiTheme="majorBidi" w:hAnsiTheme="majorBidi" w:cstheme="majorBidi"/>
          <w:sz w:val="28"/>
          <w:szCs w:val="28"/>
        </w:rPr>
        <w:t>, translocation, etc”.</w:t>
      </w:r>
      <w:r w:rsidR="00703E4C" w:rsidRPr="00BD7F78">
        <w:rPr>
          <w:rFonts w:asciiTheme="majorBidi" w:hAnsiTheme="majorBidi" w:cstheme="majorBidi"/>
          <w:sz w:val="28"/>
          <w:szCs w:val="28"/>
        </w:rPr>
        <w:br/>
      </w:r>
      <w:r w:rsidR="00703E4C" w:rsidRPr="00BD7F78">
        <w:rPr>
          <w:rFonts w:asciiTheme="majorBidi" w:hAnsiTheme="majorBidi" w:cstheme="majorBidi"/>
          <w:sz w:val="28"/>
          <w:szCs w:val="28"/>
        </w:rPr>
        <w:br/>
      </w:r>
      <w:r w:rsidR="00703E4C" w:rsidRPr="00BD7F78">
        <w:rPr>
          <w:rFonts w:asciiTheme="majorBidi" w:hAnsiTheme="majorBidi" w:cstheme="majorBidi"/>
          <w:noProof/>
          <w:sz w:val="28"/>
          <w:szCs w:val="28"/>
        </w:rPr>
        <w:drawing>
          <wp:inline distT="0" distB="0" distL="0" distR="0">
            <wp:extent cx="3867150" cy="2333625"/>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2613" cy="6559550"/>
                      <a:chOff x="457200" y="152400"/>
                      <a:chExt cx="8202613" cy="6559550"/>
                    </a:xfrm>
                  </a:grpSpPr>
                  <a:sp>
                    <a:nvSpPr>
                      <a:cNvPr id="25602" name="Rectangle 2"/>
                      <a:cNvSpPr>
                        <a:spLocks noGrp="1" noRot="1" noChangeArrowheads="1"/>
                      </a:cNvSpPr>
                    </a:nvSpPr>
                    <a:spPr bwMode="auto">
                      <a:xfrm>
                        <a:off x="735013" y="152400"/>
                        <a:ext cx="7772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2pPr>
                          <a:lvl3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3pPr>
                          <a:lvl4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4pPr>
                          <a:lvl5pPr algn="ctr" rtl="0" eaLnBrk="0" fontAlgn="base" hangingPunct="0">
                            <a:spcBef>
                              <a:spcPct val="0"/>
                            </a:spcBef>
                            <a:spcAft>
                              <a:spcPct val="0"/>
                            </a:spcAft>
                            <a:defRPr sz="4400">
                              <a:solidFill>
                                <a:schemeClr val="tx2"/>
                              </a:solidFill>
                              <a:latin typeface="Arial" charset="0"/>
                              <a:ea typeface="ＭＳ Ｐゴシック" charset="-128"/>
                              <a:cs typeface="ＭＳ Ｐゴシック" charset="-128"/>
                            </a:defRPr>
                          </a:lvl5pPr>
                          <a:lvl6pPr marL="457200" algn="ctr" rtl="0" fontAlgn="base">
                            <a:spcBef>
                              <a:spcPct val="0"/>
                            </a:spcBef>
                            <a:spcAft>
                              <a:spcPct val="0"/>
                            </a:spcAft>
                            <a:defRPr sz="4400">
                              <a:solidFill>
                                <a:schemeClr val="tx2"/>
                              </a:solidFill>
                              <a:latin typeface="Arial" charset="0"/>
                              <a:ea typeface="ＭＳ Ｐゴシック" charset="-128"/>
                              <a:cs typeface="ＭＳ Ｐゴシック" charset="-128"/>
                            </a:defRPr>
                          </a:lvl6pPr>
                          <a:lvl7pPr marL="914400" algn="ctr" rtl="0" fontAlgn="base">
                            <a:spcBef>
                              <a:spcPct val="0"/>
                            </a:spcBef>
                            <a:spcAft>
                              <a:spcPct val="0"/>
                            </a:spcAft>
                            <a:defRPr sz="4400">
                              <a:solidFill>
                                <a:schemeClr val="tx2"/>
                              </a:solidFill>
                              <a:latin typeface="Arial" charset="0"/>
                              <a:ea typeface="ＭＳ Ｐゴシック" charset="-128"/>
                              <a:cs typeface="ＭＳ Ｐゴシック" charset="-128"/>
                            </a:defRPr>
                          </a:lvl7pPr>
                          <a:lvl8pPr marL="1371600" algn="ctr" rtl="0" fontAlgn="base">
                            <a:spcBef>
                              <a:spcPct val="0"/>
                            </a:spcBef>
                            <a:spcAft>
                              <a:spcPct val="0"/>
                            </a:spcAft>
                            <a:defRPr sz="4400">
                              <a:solidFill>
                                <a:schemeClr val="tx2"/>
                              </a:solidFill>
                              <a:latin typeface="Arial" charset="0"/>
                              <a:ea typeface="ＭＳ Ｐゴシック" charset="-128"/>
                              <a:cs typeface="ＭＳ Ｐゴシック" charset="-128"/>
                            </a:defRPr>
                          </a:lvl8pPr>
                          <a:lvl9pPr marL="1828800" algn="ctr" rtl="0" fontAlgn="base">
                            <a:spcBef>
                              <a:spcPct val="0"/>
                            </a:spcBef>
                            <a:spcAft>
                              <a:spcPct val="0"/>
                            </a:spcAft>
                            <a:defRPr sz="4400">
                              <a:solidFill>
                                <a:schemeClr val="tx2"/>
                              </a:solidFill>
                              <a:latin typeface="Arial" charset="0"/>
                              <a:ea typeface="ＭＳ Ｐゴシック" charset="-128"/>
                              <a:cs typeface="ＭＳ Ｐゴシック" charset="-128"/>
                            </a:defRPr>
                          </a:lvl9pPr>
                        </a:lstStyle>
                        <a:p>
                          <a:r>
                            <a:rPr lang="en-US" sz="4000" smtClean="0">
                              <a:solidFill>
                                <a:srgbClr val="0033CC"/>
                              </a:solidFill>
                              <a:latin typeface="Arial Rounded MT Bold" pitchFamily="34" charset="0"/>
                            </a:rPr>
                            <a:t>Three classes of error lead to aneuploidy in tumor cells</a:t>
                          </a:r>
                        </a:p>
                      </a:txBody>
                      <a:useSpRect/>
                    </a:txSp>
                  </a:sp>
                  <a:pic>
                    <a:nvPicPr>
                      <a:cNvPr id="25604" name="Picture 5" descr="18_13"/>
                      <a:cNvPicPr>
                        <a:picLocks noChangeAspect="1" noChangeArrowheads="1"/>
                      </a:cNvPicPr>
                    </a:nvPicPr>
                    <a:blipFill>
                      <a:blip r:embed="rId13"/>
                      <a:srcRect t="2678" r="52174" b="49107"/>
                      <a:stretch>
                        <a:fillRect/>
                      </a:stretch>
                    </a:blipFill>
                    <a:spPr bwMode="auto">
                      <a:xfrm>
                        <a:off x="582613" y="1600200"/>
                        <a:ext cx="8077200" cy="5111750"/>
                      </a:xfrm>
                      <a:prstGeom prst="rect">
                        <a:avLst/>
                      </a:prstGeom>
                      <a:noFill/>
                      <a:ln w="9525">
                        <a:noFill/>
                        <a:miter lim="800000"/>
                        <a:headEnd/>
                        <a:tailEnd/>
                      </a:ln>
                    </a:spPr>
                  </a:pic>
                  <a:sp>
                    <a:nvSpPr>
                      <a:cNvPr id="25606" name="Rectangle 2"/>
                      <a:cNvSpPr>
                        <a:spLocks noChangeArrowheads="1"/>
                      </a:cNvSpPr>
                    </a:nvSpPr>
                    <a:spPr bwMode="auto">
                      <a:xfrm>
                        <a:off x="457200" y="1524000"/>
                        <a:ext cx="533400" cy="304800"/>
                      </a:xfrm>
                      <a:prstGeom prst="rect">
                        <a:avLst/>
                      </a:prstGeom>
                      <a:solidFill>
                        <a:schemeClr val="bg1"/>
                      </a:solidFill>
                      <a:ln w="9525" algn="ctr">
                        <a:noFill/>
                        <a:round/>
                        <a:headEnd/>
                        <a:tailEnd/>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marL="990600" indent="-533400">
                            <a:buFont typeface="Arial" pitchFamily="34" charset="0"/>
                            <a:buAutoNum type="alphaUcPeriod"/>
                          </a:pPr>
                          <a:endParaRPr lang="en-US"/>
                        </a:p>
                      </a:txBody>
                      <a:useSpRect/>
                    </a:txSp>
                  </a:sp>
                </lc:lockedCanvas>
              </a:graphicData>
            </a:graphic>
          </wp:inline>
        </w:drawing>
      </w:r>
      <w:r w:rsidR="00703E4C" w:rsidRPr="00BD7F78">
        <w:rPr>
          <w:rFonts w:asciiTheme="majorBidi" w:hAnsiTheme="majorBidi" w:cstheme="majorBidi"/>
          <w:sz w:val="28"/>
          <w:szCs w:val="28"/>
        </w:rPr>
        <w:br/>
      </w:r>
      <w:r w:rsidR="00703E4C" w:rsidRPr="00BD7F78">
        <w:rPr>
          <w:rFonts w:asciiTheme="majorBidi" w:hAnsiTheme="majorBidi" w:cstheme="majorBidi"/>
          <w:sz w:val="28"/>
          <w:szCs w:val="28"/>
        </w:rPr>
        <w:br/>
      </w:r>
      <w:proofErr w:type="spellStart"/>
      <w:r w:rsidR="00703E4C" w:rsidRPr="00BD7F78">
        <w:rPr>
          <w:rFonts w:asciiTheme="majorBidi" w:hAnsiTheme="majorBidi" w:cstheme="majorBidi"/>
          <w:sz w:val="28"/>
          <w:szCs w:val="28"/>
        </w:rPr>
        <w:t>Myelogenous</w:t>
      </w:r>
      <w:proofErr w:type="spellEnd"/>
      <w:r w:rsidR="00703E4C" w:rsidRPr="00BD7F78">
        <w:rPr>
          <w:rFonts w:asciiTheme="majorBidi" w:hAnsiTheme="majorBidi" w:cstheme="majorBidi"/>
          <w:sz w:val="28"/>
          <w:szCs w:val="28"/>
        </w:rPr>
        <w:t xml:space="preserve"> leukemia results mainly form </w:t>
      </w:r>
      <w:r w:rsidR="00B13A2C" w:rsidRPr="00BD7F78">
        <w:rPr>
          <w:rFonts w:asciiTheme="majorBidi" w:hAnsiTheme="majorBidi" w:cstheme="majorBidi"/>
          <w:sz w:val="28"/>
          <w:szCs w:val="28"/>
        </w:rPr>
        <w:t>translocation of “</w:t>
      </w:r>
      <w:proofErr w:type="spellStart"/>
      <w:r w:rsidR="00B13A2C" w:rsidRPr="00BD7F78">
        <w:rPr>
          <w:rFonts w:asciiTheme="majorBidi" w:hAnsiTheme="majorBidi" w:cstheme="majorBidi"/>
          <w:sz w:val="28"/>
          <w:szCs w:val="28"/>
        </w:rPr>
        <w:t>abc</w:t>
      </w:r>
      <w:proofErr w:type="spellEnd"/>
      <w:r w:rsidR="00B13A2C" w:rsidRPr="00BD7F78">
        <w:rPr>
          <w:rFonts w:asciiTheme="majorBidi" w:hAnsiTheme="majorBidi" w:cstheme="majorBidi"/>
          <w:sz w:val="28"/>
          <w:szCs w:val="28"/>
        </w:rPr>
        <w:t xml:space="preserve"> genes”, which when </w:t>
      </w:r>
      <w:proofErr w:type="spellStart"/>
      <w:r w:rsidR="00B13A2C" w:rsidRPr="00BD7F78">
        <w:rPr>
          <w:rFonts w:asciiTheme="majorBidi" w:hAnsiTheme="majorBidi" w:cstheme="majorBidi"/>
          <w:sz w:val="28"/>
          <w:szCs w:val="28"/>
        </w:rPr>
        <w:t>translocated</w:t>
      </w:r>
      <w:proofErr w:type="spellEnd"/>
      <w:r w:rsidR="00B13A2C" w:rsidRPr="00BD7F78">
        <w:rPr>
          <w:rFonts w:asciiTheme="majorBidi" w:hAnsiTheme="majorBidi" w:cstheme="majorBidi"/>
          <w:sz w:val="28"/>
          <w:szCs w:val="28"/>
        </w:rPr>
        <w:t xml:space="preserve"> will result in new gene.</w:t>
      </w:r>
      <w:r w:rsidR="00B13A2C" w:rsidRPr="00BD7F78">
        <w:rPr>
          <w:rFonts w:asciiTheme="majorBidi" w:hAnsiTheme="majorBidi" w:cstheme="majorBidi"/>
          <w:sz w:val="28"/>
          <w:szCs w:val="28"/>
        </w:rPr>
        <w:br/>
        <w:t xml:space="preserve">Translocation mutations can be seen in nearly all types of blood and lymph tumors </w:t>
      </w:r>
      <w:r w:rsidR="00B13A2C" w:rsidRPr="00BD7F78">
        <w:rPr>
          <w:rFonts w:asciiTheme="majorBidi" w:hAnsiTheme="majorBidi" w:cstheme="majorBidi"/>
          <w:sz w:val="28"/>
          <w:szCs w:val="28"/>
        </w:rPr>
        <w:br/>
      </w:r>
      <w:r w:rsidR="00B13A2C" w:rsidRPr="00BD7F78">
        <w:rPr>
          <w:rFonts w:asciiTheme="majorBidi" w:hAnsiTheme="majorBidi" w:cstheme="majorBidi"/>
          <w:noProof/>
          <w:sz w:val="28"/>
          <w:szCs w:val="28"/>
        </w:rPr>
        <w:drawing>
          <wp:inline distT="0" distB="0" distL="0" distR="0">
            <wp:extent cx="3752850" cy="1800225"/>
            <wp:effectExtent l="1905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6370638"/>
                      <a:chOff x="971550" y="533400"/>
                      <a:chExt cx="7391400" cy="6370638"/>
                    </a:xfrm>
                  </a:grpSpPr>
                  <a:sp>
                    <a:nvSpPr>
                      <a:cNvPr id="90114" name="Text Box 2"/>
                      <a:cNvSpPr txBox="1">
                        <a:spLocks noChangeArrowheads="1"/>
                      </a:cNvSpPr>
                    </a:nvSpPr>
                    <a:spPr bwMode="auto">
                      <a:xfrm>
                        <a:off x="971550" y="533400"/>
                        <a:ext cx="7391400" cy="63706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rgbClr val="000000"/>
                            </a:solidFill>
                            <a:miter lim="800000"/>
                            <a:headEnd/>
                            <a:tailEnd/>
                          </a14:hiddenLine>
                        </a:ext>
                      </a:extLst>
                    </a:spPr>
                    <a:txSp>
                      <a:txBody>
                        <a:bodyPr>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algn="ctr" eaLnBrk="1" hangingPunct="1">
                            <a:buFont typeface="Arial" pitchFamily="34" charset="0"/>
                            <a:buNone/>
                            <a:defRPr/>
                          </a:pPr>
                          <a:r>
                            <a:rPr lang="en-US" sz="2400" b="1" dirty="0" smtClean="0">
                              <a:solidFill>
                                <a:srgbClr val="0033CC"/>
                              </a:solidFill>
                              <a:latin typeface="Arial Rounded MT Bold" pitchFamily="34" charset="0"/>
                              <a:cs typeface="Times New Roman" pitchFamily="18" charset="0"/>
                            </a:rPr>
                            <a:t>MOST FREQUENT CLONAL CHROMOSOME ABNORMALITIES IN HEMATOLOGIC MALIGNANCIES</a:t>
                          </a:r>
                        </a:p>
                        <a:p>
                          <a:pPr algn="ctr" eaLnBrk="1" hangingPunct="1">
                            <a:buFont typeface="Arial" pitchFamily="34" charset="0"/>
                            <a:buNone/>
                            <a:defRPr/>
                          </a:pPr>
                          <a:r>
                            <a:rPr lang="en-US" sz="2000" b="1" dirty="0" smtClean="0">
                              <a:latin typeface="Times New Roman" pitchFamily="18" charset="0"/>
                              <a:cs typeface="Times New Roman" pitchFamily="18" charset="0"/>
                            </a:rPr>
                            <a:t> </a:t>
                          </a:r>
                          <a:endParaRPr lang="en-US" sz="2000" dirty="0" smtClean="0">
                            <a:latin typeface="Times New Roman" pitchFamily="18" charset="0"/>
                            <a:cs typeface="Times New Roman" pitchFamily="18" charset="0"/>
                          </a:endParaRPr>
                        </a:p>
                        <a:p>
                          <a:pPr eaLnBrk="1" hangingPunct="1">
                            <a:buFont typeface="Arial" pitchFamily="34" charset="0"/>
                            <a:buNone/>
                            <a:defRPr/>
                          </a:pPr>
                          <a:r>
                            <a:rPr lang="en-US" sz="2000" b="1" dirty="0" smtClean="0">
                              <a:solidFill>
                                <a:srgbClr val="006600"/>
                              </a:solidFill>
                            </a:rPr>
                            <a:t>DIAGNOSIS:			ABNORMALITY:</a:t>
                          </a:r>
                        </a:p>
                        <a:p>
                          <a:pPr eaLnBrk="1" hangingPunct="1">
                            <a:defRPr/>
                          </a:pPr>
                          <a:r>
                            <a:rPr lang="en-US" sz="2000" b="1" dirty="0" smtClean="0"/>
                            <a:t> </a:t>
                          </a:r>
                        </a:p>
                        <a:p>
                          <a:pPr marL="342900" indent="-342900" eaLnBrk="1" hangingPunct="1">
                            <a:buClr>
                              <a:srgbClr val="990099"/>
                            </a:buClr>
                            <a:buSzPct val="134000"/>
                            <a:buFont typeface="Wingdings" pitchFamily="2" charset="2"/>
                            <a:buChar char="§"/>
                            <a:defRPr/>
                          </a:pPr>
                          <a:r>
                            <a:rPr lang="en-US" sz="2000" b="1" dirty="0" smtClean="0"/>
                            <a:t> CML, ALL   			t(9;22)(q34;q11.2)</a:t>
                          </a:r>
                        </a:p>
                        <a:p>
                          <a:pPr marL="342900" indent="-342900" eaLnBrk="1" hangingPunct="1">
                            <a:buClr>
                              <a:srgbClr val="990099"/>
                            </a:buClr>
                            <a:buSzPct val="134000"/>
                            <a:buFont typeface="Wingdings" pitchFamily="2" charset="2"/>
                            <a:buChar char="§"/>
                            <a:defRPr/>
                          </a:pPr>
                          <a:r>
                            <a:rPr lang="en-US" sz="2000" b="1" dirty="0" smtClean="0"/>
                            <a:t> AML			t(8;21)(q22;q22)</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APL				t(15;17)(q22;q12~21)</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AML with EO		</a:t>
                          </a:r>
                          <a:r>
                            <a:rPr lang="en-US" sz="2000" b="1" dirty="0" err="1" smtClean="0"/>
                            <a:t>inv</a:t>
                          </a:r>
                          <a:r>
                            <a:rPr lang="en-US" sz="2000" b="1" dirty="0" smtClean="0"/>
                            <a:t>(16)(p13q22)</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MDS /AML			5q-, -7, 7q-,+8, 20q-</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CLL				del(13q), +12</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ALL				t(1;19)(q23;p13)</a:t>
                          </a:r>
                          <a:endParaRPr lang="en-US" sz="2000" dirty="0" smtClean="0"/>
                        </a:p>
                        <a:p>
                          <a:pPr eaLnBrk="1" hangingPunct="1">
                            <a:buClr>
                              <a:srgbClr val="990099"/>
                            </a:buClr>
                            <a:buSzPct val="134000"/>
                            <a:buFont typeface="Arial" pitchFamily="34" charset="0"/>
                            <a:buNone/>
                            <a:defRPr/>
                          </a:pPr>
                          <a:r>
                            <a:rPr lang="en-US" sz="2000" b="1" dirty="0" smtClean="0"/>
                            <a:t>				t(4;11)(q21;q23)</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a:t>
                          </a:r>
                          <a:r>
                            <a:rPr lang="en-US" sz="2000" b="1" dirty="0" err="1" smtClean="0"/>
                            <a:t>Burkitt’s</a:t>
                          </a:r>
                          <a:r>
                            <a:rPr lang="en-US" sz="2000" b="1" dirty="0" smtClean="0"/>
                            <a:t> Lymphoma	t(8;14)(q24;q32)</a:t>
                          </a:r>
                          <a:endParaRPr lang="en-US" sz="2000" dirty="0" smtClean="0"/>
                        </a:p>
                        <a:p>
                          <a:pPr marL="342900" indent="-342900" eaLnBrk="1" hangingPunct="1">
                            <a:buClr>
                              <a:srgbClr val="990099"/>
                            </a:buClr>
                            <a:buSzPct val="134000"/>
                            <a:buFont typeface="Wingdings" pitchFamily="2" charset="2"/>
                            <a:buChar char="§"/>
                            <a:defRPr/>
                          </a:pPr>
                          <a:r>
                            <a:rPr lang="en-US" sz="2000" b="1" dirty="0" smtClean="0"/>
                            <a:t> Follicular Lymphoma	t(14;18)(q32;q21)</a:t>
                          </a:r>
                          <a:endParaRPr lang="en-US" sz="2000" dirty="0" smtClean="0"/>
                        </a:p>
                        <a:p>
                          <a:pPr eaLnBrk="1" hangingPunct="1">
                            <a:buClr>
                              <a:srgbClr val="FFC000"/>
                            </a:buClr>
                            <a:buSzPct val="134000"/>
                            <a:buFont typeface="Arial" pitchFamily="34" charset="0"/>
                            <a:buNone/>
                            <a:defRPr/>
                          </a:pPr>
                          <a:r>
                            <a:rPr lang="en-US" sz="2000" b="1" dirty="0" smtClean="0">
                              <a:solidFill>
                                <a:schemeClr val="bg1"/>
                              </a:solidFill>
                            </a:rPr>
                            <a:t>Cell Lymphoma	t(11;14)(q13;q32)</a:t>
                          </a:r>
                          <a:r>
                            <a:rPr lang="en-US" sz="2000" dirty="0" smtClean="0">
                              <a:solidFill>
                                <a:schemeClr val="bg1"/>
                              </a:solidFill>
                              <a:latin typeface="Times New Roman" pitchFamily="18" charset="0"/>
                            </a:rPr>
                            <a:t> </a:t>
                          </a:r>
                        </a:p>
                      </a:txBody>
                      <a:useSpRect/>
                    </a:txSp>
                  </a:sp>
                  <a:sp>
                    <a:nvSpPr>
                      <a:cNvPr id="29699" name="Line 3"/>
                      <a:cNvSpPr>
                        <a:spLocks noChangeShapeType="1"/>
                      </a:cNvSpPr>
                    </a:nvSpPr>
                    <a:spPr bwMode="auto">
                      <a:xfrm>
                        <a:off x="762000" y="2590800"/>
                        <a:ext cx="7416800" cy="0"/>
                      </a:xfrm>
                      <a:prstGeom prst="line">
                        <a:avLst/>
                      </a:prstGeom>
                      <a:noFill/>
                      <a:ln w="57150">
                        <a:solidFill>
                          <a:schemeClr val="hlink"/>
                        </a:solidFill>
                        <a:round/>
                        <a:headEnd/>
                        <a:tailEnd/>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lc:lockedCanvas>
              </a:graphicData>
            </a:graphic>
          </wp:inline>
        </w:drawing>
      </w:r>
      <w:r w:rsidR="00B13A2C" w:rsidRPr="00BD7F78">
        <w:rPr>
          <w:rFonts w:asciiTheme="majorBidi" w:hAnsiTheme="majorBidi" w:cstheme="majorBidi"/>
          <w:sz w:val="28"/>
          <w:szCs w:val="28"/>
        </w:rPr>
        <w:br/>
      </w:r>
      <w:r w:rsidR="00B13A2C" w:rsidRPr="00BD7F78">
        <w:rPr>
          <w:rFonts w:asciiTheme="majorBidi" w:hAnsiTheme="majorBidi" w:cstheme="majorBidi"/>
          <w:sz w:val="28"/>
          <w:szCs w:val="28"/>
        </w:rPr>
        <w:br/>
      </w:r>
      <w:proofErr w:type="gramStart"/>
      <w:r w:rsidR="00B13A2C" w:rsidRPr="00BD7F78">
        <w:rPr>
          <w:rFonts w:asciiTheme="majorBidi" w:hAnsiTheme="majorBidi" w:cstheme="majorBidi"/>
          <w:sz w:val="28"/>
          <w:szCs w:val="28"/>
        </w:rPr>
        <w:t>Each</w:t>
      </w:r>
      <w:proofErr w:type="gramEnd"/>
      <w:r w:rsidR="00B13A2C" w:rsidRPr="00BD7F78">
        <w:rPr>
          <w:rFonts w:asciiTheme="majorBidi" w:hAnsiTheme="majorBidi" w:cstheme="majorBidi"/>
          <w:sz w:val="28"/>
          <w:szCs w:val="28"/>
        </w:rPr>
        <w:t xml:space="preserve"> tumor may result from more than </w:t>
      </w:r>
      <w:r w:rsidR="006F1DBE" w:rsidRPr="00BD7F78">
        <w:rPr>
          <w:rFonts w:asciiTheme="majorBidi" w:hAnsiTheme="majorBidi" w:cstheme="majorBidi"/>
          <w:sz w:val="28"/>
          <w:szCs w:val="28"/>
        </w:rPr>
        <w:t>one type of translocation, usually translocation happens in immunoglobulin genes “chromosome 8 for light chains and chromosome 14 for heavy chains”.</w:t>
      </w:r>
      <w:r w:rsidR="006F1DBE" w:rsidRPr="00BD7F78">
        <w:rPr>
          <w:rFonts w:asciiTheme="majorBidi" w:hAnsiTheme="majorBidi" w:cstheme="majorBidi"/>
          <w:sz w:val="28"/>
          <w:szCs w:val="28"/>
        </w:rPr>
        <w:br/>
      </w:r>
      <w:r w:rsidR="006F1DBE" w:rsidRPr="00BD7F78">
        <w:rPr>
          <w:rFonts w:asciiTheme="majorBidi" w:hAnsiTheme="majorBidi" w:cstheme="majorBidi"/>
          <w:sz w:val="28"/>
          <w:szCs w:val="28"/>
        </w:rPr>
        <w:br/>
      </w:r>
      <w:r w:rsidR="006F1DBE" w:rsidRPr="00BD7F78">
        <w:rPr>
          <w:rFonts w:asciiTheme="majorBidi" w:hAnsiTheme="majorBidi" w:cstheme="majorBidi"/>
          <w:noProof/>
          <w:sz w:val="28"/>
          <w:szCs w:val="28"/>
        </w:rPr>
        <w:lastRenderedPageBreak/>
        <w:drawing>
          <wp:inline distT="0" distB="0" distL="0" distR="0">
            <wp:extent cx="3752850" cy="2190750"/>
            <wp:effectExtent l="1905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13837" cy="6223000"/>
                      <a:chOff x="144463" y="287338"/>
                      <a:chExt cx="9113837" cy="6223000"/>
                    </a:xfrm>
                  </a:grpSpPr>
                  <a:sp>
                    <a:nvSpPr>
                      <a:cNvPr id="30722" name="Text Box 2"/>
                      <a:cNvSpPr txBox="1">
                        <a:spLocks noChangeArrowheads="1"/>
                      </a:cNvSpPr>
                    </a:nvSpPr>
                    <a:spPr bwMode="auto">
                      <a:xfrm>
                        <a:off x="144463" y="287338"/>
                        <a:ext cx="9113837" cy="62230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type="none" w="sm" len="sm"/>
                            <a:tailEnd type="none" w="sm" len="sm"/>
                          </a14:hiddenLine>
                        </a:ext>
                      </a:extLst>
                    </a:spPr>
                    <a:txSp>
                      <a:txBody>
                        <a:bodyPr wrap="none" lIns="85871" tIns="42936" rIns="85871" bIns="42936">
                          <a:spAutoFit/>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pPr eaLnBrk="1" hangingPunct="1">
                            <a:defRPr/>
                          </a:pPr>
                          <a:r>
                            <a:rPr lang="en-US" sz="2300" b="1" dirty="0" smtClean="0">
                              <a:solidFill>
                                <a:schemeClr val="bg1"/>
                              </a:solidFill>
                              <a:cs typeface="Arial" pitchFamily="34" charset="0"/>
                            </a:rPr>
                            <a:t>	</a:t>
                          </a:r>
                          <a:r>
                            <a:rPr lang="en-US" sz="3400" b="1" dirty="0" smtClean="0">
                              <a:solidFill>
                                <a:srgbClr val="0033CC"/>
                              </a:solidFill>
                              <a:cs typeface="Arial" pitchFamily="34" charset="0"/>
                            </a:rPr>
                            <a:t>Chromosomal Rearrangements </a:t>
                          </a:r>
                        </a:p>
                        <a:p>
                          <a:pPr eaLnBrk="1" hangingPunct="1">
                            <a:buFont typeface="Arial" pitchFamily="34" charset="0"/>
                            <a:buNone/>
                            <a:defRPr/>
                          </a:pPr>
                          <a:r>
                            <a:rPr lang="en-US" sz="3400" b="1" dirty="0" smtClean="0">
                              <a:solidFill>
                                <a:srgbClr val="0033CC"/>
                              </a:solidFill>
                              <a:cs typeface="Arial" pitchFamily="34" charset="0"/>
                            </a:rPr>
                            <a:t>                or Translocations</a:t>
                          </a:r>
                          <a:endParaRPr lang="en-US" sz="2300" b="1" dirty="0" smtClean="0">
                            <a:cs typeface="Arial" pitchFamily="34" charset="0"/>
                          </a:endParaRPr>
                        </a:p>
                        <a:p>
                          <a:pPr eaLnBrk="1" hangingPunct="1">
                            <a:buFont typeface="Arial" pitchFamily="34" charset="0"/>
                            <a:buNone/>
                            <a:defRPr/>
                          </a:pPr>
                          <a:r>
                            <a:rPr lang="en-US" sz="2300" b="1" dirty="0" smtClean="0">
                              <a:solidFill>
                                <a:srgbClr val="006600"/>
                              </a:solidFill>
                              <a:cs typeface="Arial" pitchFamily="34" charset="0"/>
                            </a:rPr>
                            <a:t>  Neoplasm			Translocation	  Proto-oncogene</a:t>
                          </a:r>
                        </a:p>
                        <a:p>
                          <a:pPr eaLnBrk="1" hangingPunct="1">
                            <a:defRPr/>
                          </a:pPr>
                          <a:endParaRPr lang="en-US" sz="2300" b="1" dirty="0" smtClean="0">
                            <a:cs typeface="Arial" pitchFamily="34" charset="0"/>
                          </a:endParaRPr>
                        </a:p>
                        <a:p>
                          <a:pPr marL="342900" indent="-342900" eaLnBrk="1" hangingPunct="1">
                            <a:buClr>
                              <a:srgbClr val="A50021"/>
                            </a:buClr>
                            <a:buFont typeface="Wingdings" pitchFamily="2" charset="2"/>
                            <a:buChar char="§"/>
                            <a:defRPr/>
                          </a:pPr>
                          <a:r>
                            <a:rPr lang="en-US" sz="1900" b="1" dirty="0" err="1" smtClean="0">
                              <a:cs typeface="Arial" pitchFamily="34" charset="0"/>
                            </a:rPr>
                            <a:t>Burkitt</a:t>
                          </a:r>
                          <a:r>
                            <a:rPr lang="en-US" sz="1900" b="1" dirty="0" smtClean="0">
                              <a:cs typeface="Arial" pitchFamily="34" charset="0"/>
                            </a:rPr>
                            <a:t> lymphoma		t(8;14)	80% of cases		     c-myc</a:t>
                          </a:r>
                          <a:r>
                            <a:rPr lang="en-US" sz="1900" b="1" baseline="30000" dirty="0" smtClean="0">
                              <a:cs typeface="Arial" pitchFamily="34" charset="0"/>
                            </a:rPr>
                            <a:t>1</a:t>
                          </a:r>
                          <a:endParaRPr lang="en-US" sz="1900" b="1" dirty="0" smtClean="0">
                            <a:cs typeface="Arial" pitchFamily="34" charset="0"/>
                          </a:endParaRPr>
                        </a:p>
                        <a:p>
                          <a:pPr eaLnBrk="1" hangingPunct="1">
                            <a:buClr>
                              <a:srgbClr val="A50021"/>
                            </a:buClr>
                            <a:buFont typeface="Arial" pitchFamily="34" charset="0"/>
                            <a:buNone/>
                            <a:defRPr/>
                          </a:pPr>
                          <a:r>
                            <a:rPr lang="en-US" sz="1900" b="1" dirty="0" smtClean="0">
                              <a:cs typeface="Arial" pitchFamily="34" charset="0"/>
                            </a:rPr>
                            <a:t>				t(8;22)	15% of cases</a:t>
                          </a:r>
                        </a:p>
                        <a:p>
                          <a:pPr eaLnBrk="1" hangingPunct="1">
                            <a:buClr>
                              <a:srgbClr val="A50021"/>
                            </a:buClr>
                            <a:buFont typeface="Arial" pitchFamily="34" charset="0"/>
                            <a:buNone/>
                            <a:defRPr/>
                          </a:pPr>
                          <a:r>
                            <a:rPr lang="en-US" sz="1900" b="1" dirty="0" smtClean="0">
                              <a:cs typeface="Arial" pitchFamily="34" charset="0"/>
                            </a:rPr>
                            <a:t>				t(2;8)	  5% of cases</a:t>
                          </a:r>
                        </a:p>
                        <a:p>
                          <a:pPr marL="342900" indent="-342900" eaLnBrk="1" hangingPunct="1">
                            <a:buClr>
                              <a:srgbClr val="A50021"/>
                            </a:buClr>
                            <a:buFont typeface="Wingdings" pitchFamily="2" charset="2"/>
                            <a:buChar char="§"/>
                            <a:defRPr/>
                          </a:pPr>
                          <a:endParaRPr lang="en-US" sz="1900" b="1" dirty="0" smtClean="0">
                            <a:cs typeface="Arial" pitchFamily="34" charset="0"/>
                          </a:endParaRPr>
                        </a:p>
                        <a:p>
                          <a:pPr marL="342900" indent="-342900" eaLnBrk="1" hangingPunct="1">
                            <a:buClr>
                              <a:srgbClr val="A50021"/>
                            </a:buClr>
                            <a:buFont typeface="Wingdings" pitchFamily="2" charset="2"/>
                            <a:buChar char="§"/>
                            <a:defRPr/>
                          </a:pPr>
                          <a:r>
                            <a:rPr lang="en-US" sz="1900" b="1" dirty="0" smtClean="0">
                              <a:cs typeface="Arial" pitchFamily="34" charset="0"/>
                            </a:rPr>
                            <a:t>Chronic </a:t>
                          </a:r>
                          <a:r>
                            <a:rPr lang="en-US" sz="1900" b="1" dirty="0" err="1" smtClean="0">
                              <a:cs typeface="Arial" pitchFamily="34" charset="0"/>
                            </a:rPr>
                            <a:t>myelogenous</a:t>
                          </a:r>
                          <a:r>
                            <a:rPr lang="en-US" sz="1900" b="1" dirty="0" smtClean="0">
                              <a:cs typeface="Arial" pitchFamily="34" charset="0"/>
                            </a:rPr>
                            <a:t>	t(9;22)	90-95% of cases	     bcr-abl</a:t>
                          </a:r>
                          <a:r>
                            <a:rPr lang="en-US" sz="1900" b="1" baseline="30000" dirty="0" smtClean="0">
                              <a:cs typeface="Arial" pitchFamily="34" charset="0"/>
                            </a:rPr>
                            <a:t>2</a:t>
                          </a:r>
                          <a:endParaRPr lang="en-US" sz="1900" b="1" dirty="0" smtClean="0">
                            <a:cs typeface="Arial" pitchFamily="34" charset="0"/>
                          </a:endParaRPr>
                        </a:p>
                        <a:p>
                          <a:pPr eaLnBrk="1" hangingPunct="1">
                            <a:buClr>
                              <a:srgbClr val="A50021"/>
                            </a:buClr>
                            <a:buFont typeface="Arial" pitchFamily="34" charset="0"/>
                            <a:buNone/>
                            <a:defRPr/>
                          </a:pPr>
                          <a:r>
                            <a:rPr lang="en-US" sz="1900" b="1" dirty="0" smtClean="0">
                              <a:cs typeface="Arial" pitchFamily="34" charset="0"/>
                            </a:rPr>
                            <a:t>        leukemia</a:t>
                          </a:r>
                        </a:p>
                        <a:p>
                          <a:pPr marL="342900" indent="-342900" eaLnBrk="1" hangingPunct="1">
                            <a:buClr>
                              <a:srgbClr val="A50021"/>
                            </a:buClr>
                            <a:buFont typeface="Wingdings" pitchFamily="2" charset="2"/>
                            <a:buChar char="§"/>
                            <a:defRPr/>
                          </a:pPr>
                          <a:endParaRPr lang="en-US" sz="1900" b="1" dirty="0" smtClean="0">
                            <a:cs typeface="Arial" pitchFamily="34" charset="0"/>
                          </a:endParaRPr>
                        </a:p>
                        <a:p>
                          <a:pPr marL="342900" indent="-342900" eaLnBrk="1" hangingPunct="1">
                            <a:buClr>
                              <a:srgbClr val="A50021"/>
                            </a:buClr>
                            <a:buFont typeface="Wingdings" pitchFamily="2" charset="2"/>
                            <a:buChar char="§"/>
                            <a:defRPr/>
                          </a:pPr>
                          <a:r>
                            <a:rPr lang="en-US" sz="1900" b="1" dirty="0" smtClean="0">
                              <a:cs typeface="Arial" pitchFamily="34" charset="0"/>
                            </a:rPr>
                            <a:t>Acute lymphocytic		t(9;22)	10-15% of cases	     bcr-abl</a:t>
                          </a:r>
                          <a:r>
                            <a:rPr lang="en-US" sz="1900" b="1" baseline="30000" dirty="0" smtClean="0">
                              <a:cs typeface="Arial" pitchFamily="34" charset="0"/>
                            </a:rPr>
                            <a:t>2</a:t>
                          </a:r>
                          <a:endParaRPr lang="en-US" sz="1900" b="1" dirty="0" smtClean="0">
                            <a:cs typeface="Arial" pitchFamily="34" charset="0"/>
                          </a:endParaRPr>
                        </a:p>
                        <a:p>
                          <a:pPr eaLnBrk="1" hangingPunct="1">
                            <a:buClr>
                              <a:srgbClr val="A50021"/>
                            </a:buClr>
                            <a:buFont typeface="Arial" pitchFamily="34" charset="0"/>
                            <a:buNone/>
                            <a:defRPr/>
                          </a:pPr>
                          <a:r>
                            <a:rPr lang="en-US" sz="1900" b="1" dirty="0" smtClean="0">
                              <a:cs typeface="Arial" pitchFamily="34" charset="0"/>
                            </a:rPr>
                            <a:t>        leukemia</a:t>
                          </a:r>
                        </a:p>
                        <a:p>
                          <a:pPr eaLnBrk="1" hangingPunct="1">
                            <a:buFont typeface="Arial" pitchFamily="34" charset="0"/>
                            <a:buNone/>
                            <a:defRPr/>
                          </a:pPr>
                          <a:endParaRPr lang="en-US" sz="1900" b="1" dirty="0" smtClean="0">
                            <a:cs typeface="Arial" pitchFamily="34" charset="0"/>
                          </a:endParaRPr>
                        </a:p>
                        <a:p>
                          <a:pPr eaLnBrk="1" hangingPunct="1">
                            <a:defRPr/>
                          </a:pPr>
                          <a:r>
                            <a:rPr lang="en-US" sz="1900" b="1" baseline="30000" dirty="0" smtClean="0">
                              <a:cs typeface="Arial" pitchFamily="34" charset="0"/>
                            </a:rPr>
                            <a:t>1</a:t>
                          </a:r>
                          <a:r>
                            <a:rPr lang="en-US" sz="1700" b="1" dirty="0" smtClean="0">
                              <a:cs typeface="Arial" pitchFamily="34" charset="0"/>
                            </a:rPr>
                            <a:t>c-myc is </a:t>
                          </a:r>
                          <a:r>
                            <a:rPr lang="en-US" sz="1700" b="1" dirty="0" err="1" smtClean="0">
                              <a:cs typeface="Arial" pitchFamily="34" charset="0"/>
                            </a:rPr>
                            <a:t>translocated</a:t>
                          </a:r>
                          <a:r>
                            <a:rPr lang="en-US" sz="1700" b="1" dirty="0" smtClean="0">
                              <a:cs typeface="Arial" pitchFamily="34" charset="0"/>
                            </a:rPr>
                            <a:t> to the </a:t>
                          </a:r>
                          <a:r>
                            <a:rPr lang="en-US" sz="1700" b="1" dirty="0" err="1" smtClean="0">
                              <a:cs typeface="Arial" pitchFamily="34" charset="0"/>
                            </a:rPr>
                            <a:t>IgG</a:t>
                          </a:r>
                          <a:r>
                            <a:rPr lang="en-US" sz="1700" b="1" dirty="0" smtClean="0">
                              <a:cs typeface="Arial" pitchFamily="34" charset="0"/>
                            </a:rPr>
                            <a:t> locus, which results in its activated expression</a:t>
                          </a:r>
                        </a:p>
                        <a:p>
                          <a:pPr eaLnBrk="1" hangingPunct="1">
                            <a:defRPr/>
                          </a:pPr>
                          <a:r>
                            <a:rPr lang="en-US" sz="1900" b="1" baseline="30000" dirty="0" smtClean="0">
                              <a:cs typeface="Arial" pitchFamily="34" charset="0"/>
                            </a:rPr>
                            <a:t>2</a:t>
                          </a:r>
                          <a:r>
                            <a:rPr lang="en-US" sz="1700" b="1" dirty="0" smtClean="0">
                              <a:cs typeface="Arial" pitchFamily="34" charset="0"/>
                            </a:rPr>
                            <a:t>bcr-abl fusion protein is produced, which results in a constitutively active </a:t>
                          </a:r>
                          <a:r>
                            <a:rPr lang="en-US" sz="1700" b="1" dirty="0" err="1" smtClean="0">
                              <a:cs typeface="Arial" pitchFamily="34" charset="0"/>
                            </a:rPr>
                            <a:t>abl</a:t>
                          </a:r>
                          <a:r>
                            <a:rPr lang="en-US" sz="1700" b="1" dirty="0" smtClean="0">
                              <a:cs typeface="Arial" pitchFamily="34" charset="0"/>
                            </a:rPr>
                            <a:t> kinase</a:t>
                          </a:r>
                          <a:endParaRPr lang="en-US" sz="1900" b="1" dirty="0" smtClean="0">
                            <a:cs typeface="Arial" pitchFamily="34" charset="0"/>
                          </a:endParaRPr>
                        </a:p>
                      </a:txBody>
                      <a:useSpRect/>
                    </a:txSp>
                  </a:sp>
                  <a:sp>
                    <a:nvSpPr>
                      <a:cNvPr id="30723" name="Line 3"/>
                      <a:cNvSpPr>
                        <a:spLocks noChangeShapeType="1"/>
                      </a:cNvSpPr>
                    </a:nvSpPr>
                    <a:spPr bwMode="auto">
                      <a:xfrm>
                        <a:off x="0" y="2133600"/>
                        <a:ext cx="9144000" cy="0"/>
                      </a:xfrm>
                      <a:prstGeom prst="line">
                        <a:avLst/>
                      </a:prstGeom>
                      <a:noFill/>
                      <a:ln w="57150">
                        <a:solidFill>
                          <a:srgbClr val="FFC000"/>
                        </a:solidFill>
                        <a:round/>
                        <a:headEnd type="none" w="sm" len="sm"/>
                        <a:tailEnd type="none" w="sm" len="sm"/>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lc:lockedCanvas>
              </a:graphicData>
            </a:graphic>
          </wp:inline>
        </w:drawing>
      </w:r>
      <w:r w:rsidR="006F1DBE" w:rsidRPr="00BD7F78">
        <w:rPr>
          <w:rFonts w:asciiTheme="majorBidi" w:hAnsiTheme="majorBidi" w:cstheme="majorBidi"/>
          <w:sz w:val="28"/>
          <w:szCs w:val="28"/>
        </w:rPr>
        <w:br/>
      </w:r>
      <w:r w:rsidR="006F1DBE" w:rsidRPr="00BD7F78">
        <w:rPr>
          <w:rFonts w:asciiTheme="majorBidi" w:hAnsiTheme="majorBidi" w:cstheme="majorBidi"/>
          <w:noProof/>
          <w:sz w:val="28"/>
          <w:szCs w:val="28"/>
        </w:rPr>
        <w:drawing>
          <wp:inline distT="0" distB="0" distL="0" distR="0">
            <wp:extent cx="3848100" cy="2609850"/>
            <wp:effectExtent l="0" t="0" r="0"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5867400"/>
                      <a:chOff x="381000" y="609600"/>
                      <a:chExt cx="8382000" cy="5867400"/>
                    </a:xfrm>
                  </a:grpSpPr>
                  <a:sp>
                    <a:nvSpPr>
                      <a:cNvPr id="31746" name="Rectangle 2"/>
                      <a:cNvSpPr>
                        <a:spLocks noGrp="1" noChangeArrowheads="1"/>
                      </a:cNvSpPr>
                    </a:nvSpPr>
                    <a:spPr bwMode="auto">
                      <a:xfrm>
                        <a:off x="381000" y="609600"/>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3600" b="1">
                              <a:solidFill>
                                <a:schemeClr val="tx2"/>
                              </a:solidFill>
                              <a:latin typeface="+mj-lt"/>
                              <a:ea typeface="ＭＳ Ｐゴシック" charset="-128"/>
                              <a:cs typeface="+mj-cs"/>
                            </a:defRPr>
                          </a:lvl1pPr>
                          <a:lvl2pPr algn="ctr" rtl="0" eaLnBrk="0" fontAlgn="base" hangingPunct="0">
                            <a:spcBef>
                              <a:spcPct val="0"/>
                            </a:spcBef>
                            <a:spcAft>
                              <a:spcPct val="0"/>
                            </a:spcAft>
                            <a:defRPr sz="3600" b="1">
                              <a:solidFill>
                                <a:schemeClr val="tx2"/>
                              </a:solidFill>
                              <a:latin typeface="Arial" charset="0"/>
                              <a:ea typeface="ＭＳ Ｐゴシック" charset="-128"/>
                            </a:defRPr>
                          </a:lvl2pPr>
                          <a:lvl3pPr algn="ctr" rtl="0" eaLnBrk="0" fontAlgn="base" hangingPunct="0">
                            <a:spcBef>
                              <a:spcPct val="0"/>
                            </a:spcBef>
                            <a:spcAft>
                              <a:spcPct val="0"/>
                            </a:spcAft>
                            <a:defRPr sz="3600" b="1">
                              <a:solidFill>
                                <a:schemeClr val="tx2"/>
                              </a:solidFill>
                              <a:latin typeface="Arial" charset="0"/>
                              <a:ea typeface="ＭＳ Ｐゴシック" charset="-128"/>
                            </a:defRPr>
                          </a:lvl3pPr>
                          <a:lvl4pPr algn="ctr" rtl="0" eaLnBrk="0" fontAlgn="base" hangingPunct="0">
                            <a:spcBef>
                              <a:spcPct val="0"/>
                            </a:spcBef>
                            <a:spcAft>
                              <a:spcPct val="0"/>
                            </a:spcAft>
                            <a:defRPr sz="3600" b="1">
                              <a:solidFill>
                                <a:schemeClr val="tx2"/>
                              </a:solidFill>
                              <a:latin typeface="Arial" charset="0"/>
                              <a:ea typeface="ＭＳ Ｐゴシック" charset="-128"/>
                            </a:defRPr>
                          </a:lvl4pPr>
                          <a:lvl5pPr algn="ctr" rtl="0" eaLnBrk="0" fontAlgn="base" hangingPunct="0">
                            <a:spcBef>
                              <a:spcPct val="0"/>
                            </a:spcBef>
                            <a:spcAft>
                              <a:spcPct val="0"/>
                            </a:spcAft>
                            <a:defRPr sz="3600" b="1">
                              <a:solidFill>
                                <a:schemeClr val="tx2"/>
                              </a:solidFill>
                              <a:latin typeface="Arial" charset="0"/>
                              <a:ea typeface="ＭＳ Ｐゴシック" charset="-128"/>
                            </a:defRPr>
                          </a:lvl5pPr>
                          <a:lvl6pPr marL="457200" algn="ctr" rtl="0" fontAlgn="base">
                            <a:spcBef>
                              <a:spcPct val="0"/>
                            </a:spcBef>
                            <a:spcAft>
                              <a:spcPct val="0"/>
                            </a:spcAft>
                            <a:defRPr sz="3600" b="1">
                              <a:solidFill>
                                <a:schemeClr val="tx2"/>
                              </a:solidFill>
                              <a:latin typeface="Arial" charset="0"/>
                            </a:defRPr>
                          </a:lvl6pPr>
                          <a:lvl7pPr marL="914400" algn="ctr" rtl="0" fontAlgn="base">
                            <a:spcBef>
                              <a:spcPct val="0"/>
                            </a:spcBef>
                            <a:spcAft>
                              <a:spcPct val="0"/>
                            </a:spcAft>
                            <a:defRPr sz="3600" b="1">
                              <a:solidFill>
                                <a:schemeClr val="tx2"/>
                              </a:solidFill>
                              <a:latin typeface="Arial" charset="0"/>
                            </a:defRPr>
                          </a:lvl7pPr>
                          <a:lvl8pPr marL="1371600" algn="ctr" rtl="0" fontAlgn="base">
                            <a:spcBef>
                              <a:spcPct val="0"/>
                            </a:spcBef>
                            <a:spcAft>
                              <a:spcPct val="0"/>
                            </a:spcAft>
                            <a:defRPr sz="3600" b="1">
                              <a:solidFill>
                                <a:schemeClr val="tx2"/>
                              </a:solidFill>
                              <a:latin typeface="Arial" charset="0"/>
                            </a:defRPr>
                          </a:lvl8pPr>
                          <a:lvl9pPr marL="1828800" algn="ctr" rtl="0" fontAlgn="base">
                            <a:spcBef>
                              <a:spcPct val="0"/>
                            </a:spcBef>
                            <a:spcAft>
                              <a:spcPct val="0"/>
                            </a:spcAft>
                            <a:defRPr sz="3600" b="1">
                              <a:solidFill>
                                <a:schemeClr val="tx2"/>
                              </a:solidFill>
                              <a:latin typeface="Arial" charset="0"/>
                            </a:defRPr>
                          </a:lvl9pPr>
                        </a:lstStyle>
                        <a:p>
                          <a:r>
                            <a:rPr lang="en-US" sz="3000" smtClean="0">
                              <a:solidFill>
                                <a:srgbClr val="0033CC"/>
                              </a:solidFill>
                              <a:latin typeface="Arial Rounded MT Bold" pitchFamily="34" charset="0"/>
                              <a:ea typeface="ＭＳ Ｐゴシック" pitchFamily="34" charset="-128"/>
                            </a:rPr>
                            <a:t>Examples of Chromosomal Regions That Show Loss of Heterozygosity in Tumors</a:t>
                          </a:r>
                        </a:p>
                      </a:txBody>
                      <a:useSpRect/>
                    </a:txSp>
                  </a:sp>
                  <a:sp>
                    <a:nvSpPr>
                      <a:cNvPr id="31747" name="Rectangle 3"/>
                      <a:cNvSpPr>
                        <a:spLocks noGrp="1" noChangeArrowheads="1"/>
                      </a:cNvSpPr>
                    </a:nvSpPr>
                    <a:spPr bwMode="auto">
                      <a:xfrm>
                        <a:off x="685800" y="2057400"/>
                        <a:ext cx="8077200" cy="44196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har char="•"/>
                            <a:defRPr sz="3200">
                              <a:solidFill>
                                <a:schemeClr val="tx1"/>
                              </a:solidFill>
                              <a:latin typeface="+mn-lt"/>
                              <a:ea typeface="ＭＳ Ｐゴシック" charset="-128"/>
                              <a:cs typeface="+mn-cs"/>
                            </a:defRPr>
                          </a:lvl1pPr>
                          <a:lvl2pPr marL="742950" indent="-285750" algn="l" rtl="0" eaLnBrk="0" fontAlgn="base" hangingPunct="0">
                            <a:spcBef>
                              <a:spcPct val="20000"/>
                            </a:spcBef>
                            <a:spcAft>
                              <a:spcPct val="0"/>
                            </a:spcAft>
                            <a:buChar char="–"/>
                            <a:defRPr sz="2800">
                              <a:solidFill>
                                <a:schemeClr val="tx1"/>
                              </a:solidFill>
                              <a:latin typeface="+mn-lt"/>
                              <a:ea typeface="ＭＳ Ｐゴシック" charset="-128"/>
                            </a:defRPr>
                          </a:lvl2pPr>
                          <a:lvl3pPr marL="1143000" indent="-228600" algn="l" rtl="0" eaLnBrk="0" fontAlgn="base" hangingPunct="0">
                            <a:spcBef>
                              <a:spcPct val="20000"/>
                            </a:spcBef>
                            <a:spcAft>
                              <a:spcPct val="0"/>
                            </a:spcAft>
                            <a:buChar char="•"/>
                            <a:defRPr sz="2400">
                              <a:solidFill>
                                <a:schemeClr val="tx1"/>
                              </a:solidFill>
                              <a:latin typeface="+mn-lt"/>
                              <a:ea typeface="ＭＳ Ｐゴシック" charset="-128"/>
                            </a:defRPr>
                          </a:lvl3pPr>
                          <a:lvl4pPr marL="1600200" indent="-228600" algn="l" rtl="0" eaLnBrk="0" fontAlgn="base" hangingPunct="0">
                            <a:spcBef>
                              <a:spcPct val="20000"/>
                            </a:spcBef>
                            <a:spcAft>
                              <a:spcPct val="0"/>
                            </a:spcAft>
                            <a:buChar char="–"/>
                            <a:defRPr sz="2000">
                              <a:solidFill>
                                <a:schemeClr val="tx1"/>
                              </a:solidFill>
                              <a:latin typeface="+mn-lt"/>
                              <a:ea typeface="ＭＳ Ｐゴシック" charset="-128"/>
                            </a:defRPr>
                          </a:lvl4pPr>
                          <a:lvl5pPr marL="2057400" indent="-228600" algn="l" rtl="0" eaLnBrk="0" fontAlgn="base" hangingPunct="0">
                            <a:spcBef>
                              <a:spcPct val="20000"/>
                            </a:spcBef>
                            <a:spcAft>
                              <a:spcPct val="0"/>
                            </a:spcAft>
                            <a:buChar char="»"/>
                            <a:defRPr sz="2000">
                              <a:solidFill>
                                <a:schemeClr val="tx1"/>
                              </a:solidFill>
                              <a:latin typeface="+mn-lt"/>
                              <a:ea typeface="ＭＳ Ｐゴシック" charset="-128"/>
                            </a:defRPr>
                          </a:lvl5pPr>
                          <a:lvl6pPr marL="2514600" indent="-228600" algn="l" rtl="0" fontAlgn="base">
                            <a:spcBef>
                              <a:spcPct val="20000"/>
                            </a:spcBef>
                            <a:spcAft>
                              <a:spcPct val="0"/>
                            </a:spcAft>
                            <a:buChar char="»"/>
                            <a:defRPr sz="2000">
                              <a:solidFill>
                                <a:schemeClr val="tx1"/>
                              </a:solidFill>
                              <a:latin typeface="+mn-lt"/>
                              <a:ea typeface="ＭＳ Ｐゴシック" charset="-128"/>
                            </a:defRPr>
                          </a:lvl6pPr>
                          <a:lvl7pPr marL="2971800" indent="-228600" algn="l" rtl="0" fontAlgn="base">
                            <a:spcBef>
                              <a:spcPct val="20000"/>
                            </a:spcBef>
                            <a:spcAft>
                              <a:spcPct val="0"/>
                            </a:spcAft>
                            <a:buChar char="»"/>
                            <a:defRPr sz="2000">
                              <a:solidFill>
                                <a:schemeClr val="tx1"/>
                              </a:solidFill>
                              <a:latin typeface="+mn-lt"/>
                              <a:ea typeface="ＭＳ Ｐゴシック" charset="-128"/>
                            </a:defRPr>
                          </a:lvl7pPr>
                          <a:lvl8pPr marL="3429000" indent="-228600" algn="l" rtl="0" fontAlgn="base">
                            <a:spcBef>
                              <a:spcPct val="20000"/>
                            </a:spcBef>
                            <a:spcAft>
                              <a:spcPct val="0"/>
                            </a:spcAft>
                            <a:buChar char="»"/>
                            <a:defRPr sz="2000">
                              <a:solidFill>
                                <a:schemeClr val="tx1"/>
                              </a:solidFill>
                              <a:latin typeface="+mn-lt"/>
                              <a:ea typeface="ＭＳ Ｐゴシック" charset="-128"/>
                            </a:defRPr>
                          </a:lvl8pPr>
                          <a:lvl9pPr marL="3886200" indent="-228600" algn="l" rtl="0" fontAlgn="base">
                            <a:spcBef>
                              <a:spcPct val="20000"/>
                            </a:spcBef>
                            <a:spcAft>
                              <a:spcPct val="0"/>
                            </a:spcAft>
                            <a:buChar char="»"/>
                            <a:defRPr sz="2000">
                              <a:solidFill>
                                <a:schemeClr val="tx1"/>
                              </a:solidFill>
                              <a:latin typeface="+mn-lt"/>
                              <a:ea typeface="ＭＳ Ｐゴシック" charset="-128"/>
                            </a:defRPr>
                          </a:lvl9pPr>
                        </a:lstStyle>
                        <a:p>
                          <a:pPr>
                            <a:lnSpc>
                              <a:spcPct val="80000"/>
                            </a:lnSpc>
                            <a:buFontTx/>
                            <a:buNone/>
                          </a:pPr>
                          <a:r>
                            <a:rPr lang="en-US" sz="2000" b="1" smtClean="0">
                              <a:solidFill>
                                <a:srgbClr val="006600"/>
                              </a:solidFill>
                              <a:latin typeface="Arial Rounded MT Bold" pitchFamily="34" charset="0"/>
                              <a:ea typeface="ＭＳ Ｐゴシック" pitchFamily="34" charset="-128"/>
                            </a:rPr>
                            <a:t>Chormosome			</a:t>
                          </a:r>
                        </a:p>
                        <a:p>
                          <a:pPr>
                            <a:lnSpc>
                              <a:spcPct val="80000"/>
                            </a:lnSpc>
                            <a:buFontTx/>
                            <a:buNone/>
                          </a:pPr>
                          <a:r>
                            <a:rPr lang="en-US" sz="2000" b="1" smtClean="0">
                              <a:solidFill>
                                <a:srgbClr val="006600"/>
                              </a:solidFill>
                              <a:latin typeface="Arial Rounded MT Bold" pitchFamily="34" charset="0"/>
                              <a:ea typeface="ＭＳ Ｐゴシック" pitchFamily="34" charset="-128"/>
                            </a:rPr>
                            <a:t>Region		 Disorder(s)			 Associated TSG</a:t>
                          </a:r>
                        </a:p>
                        <a:p>
                          <a:pPr>
                            <a:lnSpc>
                              <a:spcPct val="80000"/>
                            </a:lnSpc>
                            <a:buFontTx/>
                            <a:buNone/>
                          </a:pPr>
                          <a:endParaRPr lang="en-US" sz="2000" smtClean="0">
                            <a:latin typeface="Arial Rounded MT Bold" pitchFamily="34" charset="0"/>
                            <a:ea typeface="ＭＳ Ｐゴシック" pitchFamily="34" charset="-128"/>
                            <a:cs typeface="Times New Roman" pitchFamily="18" charset="0"/>
                          </a:endParaRPr>
                        </a:p>
                        <a:p>
                          <a:pPr>
                            <a:lnSpc>
                              <a:spcPct val="80000"/>
                            </a:lnSpc>
                            <a:buFontTx/>
                            <a:buNone/>
                          </a:pPr>
                          <a:r>
                            <a:rPr lang="en-US" sz="2000" smtClean="0">
                              <a:latin typeface="Arial Rounded MT Bold" pitchFamily="34" charset="0"/>
                              <a:ea typeface="ＭＳ Ｐゴシック" pitchFamily="34" charset="-128"/>
                              <a:cs typeface="Times New Roman" pitchFamily="18" charset="0"/>
                            </a:rPr>
                            <a:t>lq 		Breast carcinoma 			      Unknown</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3p		Small~celllung carcinoma 		      Unknown</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5q		Familial polyposis coli; </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		colorectal carcinoma 			      MCC</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11 p 	Wilms tumor; rhabdomyosarcoma 	      WTl</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13q 	Retinoblastoma; breast carcinoma; </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		osteosarcomas 		                    RB 1</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17p 	Colorectal carcinoma; breast cancer      TP53</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18q 	Colorectal carcinoma 			      DCC</a:t>
                          </a:r>
                        </a:p>
                        <a:p>
                          <a:pPr>
                            <a:lnSpc>
                              <a:spcPct val="80000"/>
                            </a:lnSpc>
                            <a:buFontTx/>
                            <a:buNone/>
                          </a:pPr>
                          <a:r>
                            <a:rPr lang="en-US" sz="2000" smtClean="0">
                              <a:latin typeface="Arial Rounded MT Bold" pitchFamily="34" charset="0"/>
                              <a:ea typeface="ＭＳ Ｐゴシック" pitchFamily="34" charset="-128"/>
                              <a:cs typeface="Times New Roman" pitchFamily="18" charset="0"/>
                            </a:rPr>
                            <a:t>22 	Neurofibromatosis, type 2		     Unknown</a:t>
                          </a:r>
                          <a:r>
                            <a:rPr lang="en-US" sz="1600" smtClean="0">
                              <a:ea typeface="ＭＳ Ｐゴシック" pitchFamily="34" charset="-128"/>
                            </a:rPr>
                            <a:t> </a:t>
                          </a:r>
                          <a:r>
                            <a:rPr lang="en-US" sz="1600" smtClean="0">
                              <a:ea typeface="ＭＳ Ｐゴシック" pitchFamily="34" charset="-128"/>
                              <a:cs typeface="Times New Roman" pitchFamily="18" charset="0"/>
                            </a:rPr>
                            <a:t> 		</a:t>
                          </a:r>
                        </a:p>
                      </a:txBody>
                      <a:useSpRect/>
                    </a:txSp>
                  </a:sp>
                  <a:sp>
                    <a:nvSpPr>
                      <a:cNvPr id="31748" name="Line 4"/>
                      <a:cNvSpPr>
                        <a:spLocks noChangeShapeType="1"/>
                      </a:cNvSpPr>
                    </a:nvSpPr>
                    <a:spPr bwMode="auto">
                      <a:xfrm>
                        <a:off x="685800" y="2819400"/>
                        <a:ext cx="7620000" cy="0"/>
                      </a:xfrm>
                      <a:prstGeom prst="line">
                        <a:avLst/>
                      </a:prstGeom>
                      <a:noFill/>
                      <a:ln w="38100">
                        <a:solidFill>
                          <a:srgbClr val="FFC000"/>
                        </a:solidFill>
                        <a:round/>
                        <a:headEnd/>
                        <a:tailEnd/>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a:sp>
                    <a:nvSpPr>
                      <a:cNvPr id="31749" name="Line 5"/>
                      <a:cNvSpPr>
                        <a:spLocks noChangeShapeType="1"/>
                      </a:cNvSpPr>
                    </a:nvSpPr>
                    <a:spPr bwMode="auto">
                      <a:xfrm>
                        <a:off x="609600" y="6172200"/>
                        <a:ext cx="7620000" cy="0"/>
                      </a:xfrm>
                      <a:prstGeom prst="line">
                        <a:avLst/>
                      </a:prstGeom>
                      <a:noFill/>
                      <a:ln w="38100">
                        <a:solidFill>
                          <a:srgbClr val="FFC000"/>
                        </a:solidFill>
                        <a:round/>
                        <a:headEnd/>
                        <a:tailEnd/>
                      </a:ln>
                    </a:spPr>
                    <a:txSp>
                      <a:txBody>
                        <a:bodyPr/>
                        <a:lstStyle>
                          <a:defPPr>
                            <a:defRPr lang="en-US"/>
                          </a:defPPr>
                          <a:lvl1pPr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1pPr>
                          <a:lvl2pPr marL="4572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2pPr>
                          <a:lvl3pPr marL="9144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3pPr>
                          <a:lvl4pPr marL="13716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4pPr>
                          <a:lvl5pPr marL="1828800" algn="l" rtl="0" fontAlgn="base">
                            <a:spcBef>
                              <a:spcPct val="20000"/>
                            </a:spcBef>
                            <a:spcAft>
                              <a:spcPct val="0"/>
                            </a:spcAft>
                            <a:buFont typeface="Arial" pitchFamily="34" charset="0"/>
                            <a:buChar char="•"/>
                            <a:defRPr sz="28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8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8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8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800" kern="1200">
                              <a:solidFill>
                                <a:schemeClr val="tx1"/>
                              </a:solidFill>
                              <a:latin typeface="Arial" pitchFamily="34" charset="0"/>
                              <a:ea typeface="ＭＳ Ｐゴシック" pitchFamily="34" charset="-128"/>
                              <a:cs typeface="+mn-cs"/>
                            </a:defRPr>
                          </a:lvl9pPr>
                        </a:lstStyle>
                        <a:p>
                          <a:endParaRPr lang="en-US"/>
                        </a:p>
                      </a:txBody>
                      <a:useSpRect/>
                    </a:txSp>
                  </a:sp>
                </lc:lockedCanvas>
              </a:graphicData>
            </a:graphic>
          </wp:inline>
        </w:drawing>
      </w:r>
    </w:p>
    <w:sectPr w:rsidR="007A4AC5" w:rsidRPr="00BD7F78" w:rsidSect="004320D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2304D"/>
    <w:rsid w:val="000B665B"/>
    <w:rsid w:val="00110802"/>
    <w:rsid w:val="0012304D"/>
    <w:rsid w:val="001A78A2"/>
    <w:rsid w:val="004320D7"/>
    <w:rsid w:val="00535175"/>
    <w:rsid w:val="006F1DBE"/>
    <w:rsid w:val="00703E4C"/>
    <w:rsid w:val="007A4AC5"/>
    <w:rsid w:val="00B13A2C"/>
    <w:rsid w:val="00BD7F78"/>
    <w:rsid w:val="00DE22AA"/>
    <w:rsid w:val="00DE425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0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240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1</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Edge</dc:creator>
  <cp:keywords/>
  <dc:description/>
  <cp:lastModifiedBy>SAHEM</cp:lastModifiedBy>
  <cp:revision>8</cp:revision>
  <dcterms:created xsi:type="dcterms:W3CDTF">2015-04-19T18:59:00Z</dcterms:created>
  <dcterms:modified xsi:type="dcterms:W3CDTF">2015-04-20T19:07:00Z</dcterms:modified>
</cp:coreProperties>
</file>