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6"/>
          <w:u w:val="single"/>
          <w:shd w:fill="auto" w:val="clear"/>
        </w:rPr>
        <w:t xml:space="preserve">Kidney disease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aps w:val="true"/>
          <w:color w:val="1D1B11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1D1B11"/>
          <w:spacing w:val="0"/>
          <w:position w:val="0"/>
          <w:sz w:val="36"/>
          <w:u w:val="single"/>
          <w:shd w:fill="auto" w:val="clear"/>
        </w:rPr>
        <w:t xml:space="preserve">Kidney function</w:t>
      </w:r>
      <w:r>
        <w:rPr>
          <w:rFonts w:ascii="Calibri" w:hAnsi="Calibri" w:cs="Calibri" w:eastAsia="Calibri"/>
          <w:b/>
          <w:i/>
          <w:caps w:val="true"/>
          <w:color w:val="1D1B11"/>
          <w:spacing w:val="0"/>
          <w:position w:val="0"/>
          <w:sz w:val="36"/>
          <w:u w:val="single"/>
          <w:shd w:fill="auto" w:val="clear"/>
        </w:rPr>
        <w:t xml:space="preserve"> :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maintaince of water and electrolytes  balance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maintaince of acid-base balance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synthesis of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erythropiotine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synthesis of RBC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vitamin D metabolism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regulation of blood pressure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Kidney function measured by several tests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: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GFR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glomerular infiltration rate ; It’s the amount of fluids filtrated by kidney per minute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-Normal value 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ml/minute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-&lt;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%: renal failure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%:end stage renal disease  it’s the stage before you need kidney transplant.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%: renal insufficiency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%: decreased renal reserve  some renal damage is present but the rest of the kidney does the usual function.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)BUN: blood urea nitrogen 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normal value 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mg/dl.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)Creatinin.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)Electrolytes (Na, K , p ,Ca )</w:t>
      </w:r>
    </w:p>
    <w:p>
      <w:pPr>
        <w:spacing w:before="0" w:after="200" w:line="276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Urine analysis: we check PH, colour RBC, WBC.</w:t>
      </w:r>
    </w:p>
    <w:p>
      <w:pPr>
        <w:tabs>
          <w:tab w:val="left" w:pos="4841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We have 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4 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main kidney diseases we should know about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Chronic renal failure  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Dialysis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Renal transplant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Nephrotic syndrome </w:t>
      </w:r>
    </w:p>
    <w:p>
      <w:pPr>
        <w:tabs>
          <w:tab w:val="left" w:pos="4841" w:leader="none"/>
        </w:tabs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</w:p>
    <w:p>
      <w:pPr>
        <w:numPr>
          <w:ilvl w:val="0"/>
          <w:numId w:val="12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Chronic renal failure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:</w:t>
      </w:r>
    </w:p>
    <w:p>
      <w:pPr>
        <w:numPr>
          <w:ilvl w:val="0"/>
          <w:numId w:val="12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slowly progressive disease characterised by irreversible reduction of GFR over a period of months to years.</w:t>
      </w:r>
    </w:p>
    <w:p>
      <w:pPr>
        <w:numPr>
          <w:ilvl w:val="0"/>
          <w:numId w:val="12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Signs and symptoms depend on the degree of renal malfunction</w:t>
      </w:r>
    </w:p>
    <w:p>
      <w:pPr>
        <w:numPr>
          <w:ilvl w:val="0"/>
          <w:numId w:val="12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 early stages it’s asymptomatic then nocturia, anorexia then end stage renal failure (uremic syndrome).</w:t>
      </w:r>
    </w:p>
    <w:p>
      <w:pPr>
        <w:spacing w:before="0" w:after="200" w:line="276"/>
        <w:ind w:right="0" w:left="99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99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Clinical features :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Cardiovascular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hypertension and congestive heart failure.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Gastrointestinal: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,nausea, vomiting, peptic ulcer( due to hypercalcemia ) 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Neurological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lassitude, headache, tremor  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Dermatological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itching, hyperpigmentation of skin and mucosal membrane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Haematological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bleeding tendency, anaemia, susceptibility to infection 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Musculoskeletal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renal osteodystrophy effect bone, growth retardation .</w:t>
      </w:r>
    </w:p>
    <w:p>
      <w:pPr>
        <w:numPr>
          <w:ilvl w:val="0"/>
          <w:numId w:val="15"/>
        </w:numPr>
        <w:spacing w:before="0" w:after="200" w:line="276"/>
        <w:ind w:right="0" w:left="9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Metabolic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thirst, polyuria, secondary hyperparathyroidism( increase in PTH ,Ca) ( decrease in 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EEECE1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EEECE1"/>
          <w:spacing w:val="0"/>
          <w:position w:val="0"/>
          <w:sz w:val="32"/>
          <w:u w:val="single"/>
          <w:shd w:fill="auto" w:val="clear"/>
        </w:rPr>
        <w:t xml:space="preserve">**So basically the chronic renal failure patient have all diseases.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EEECE1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Classification of chronic renal failure according the GFR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: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Stage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kidney damage with normal GFR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%)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Stage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mildly decreased GFR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%)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Stage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moderately decreased GFR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%)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Stage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severely decreased GFR 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%)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Stage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kidney failure (GFR&lt;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%)== &gt; needs dialysis or renal transplant.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Causes of chronic renal failure: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**The most important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causes are; Diabetes mellitus , hypertension ( especiall if uncontrolled)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**Other causes: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Glomerulonephritis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Poly cystic kidney disease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Reno-vascular disease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Idiopathic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Management of chronic renal failure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Usually they modify the patient’s diet.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decrease fluid intake.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restricting protein to minimise the increase in BUN 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Restricting dietary Na, K, Cl, Mg, p, Al 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Diuretics to maintain appropriate fluid balance </w:t>
      </w:r>
    </w:p>
    <w:p>
      <w:pPr>
        <w:numPr>
          <w:ilvl w:val="0"/>
          <w:numId w:val="21"/>
        </w:numPr>
        <w:spacing w:before="0" w:after="200" w:line="276"/>
        <w:ind w:right="0" w:left="64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Control of blood pressure 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Dialysis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severe disease when medical (conservative) management fails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 Removes fluid and wastes and equilibrate electrolytes and acid-bases </w:t>
      </w:r>
    </w:p>
    <w:tbl>
      <w:tblPr/>
      <w:tblGrid>
        <w:gridCol w:w="5336"/>
        <w:gridCol w:w="5340"/>
      </w:tblGrid>
      <w:tr>
        <w:trPr>
          <w:trHeight w:val="319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Peritoneal dialysis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Haemodialysis</w:t>
            </w:r>
          </w:p>
        </w:tc>
      </w:tr>
      <w:tr>
        <w:trPr>
          <w:trHeight w:val="646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performed by the patient at home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done at the hospital</w:t>
            </w:r>
          </w:p>
        </w:tc>
      </w:tr>
      <w:tr>
        <w:trPr>
          <w:trHeight w:val="964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A dialysis catheter is surgically placed into the peritoneum(part of body surround intestine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) 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a vascular access is achieved by forming an arteriovenous fistula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</w:tc>
      </w:tr>
      <w:tr>
        <w:trPr>
          <w:trHeight w:val="1293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Peritoneum is the semipermeable membrane and is used for access.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uses an artificial kidney that circulates blood along a semipermeable membrane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</w:tc>
      </w:tr>
      <w:tr>
        <w:trPr>
          <w:trHeight w:val="328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performed by the patient four to five exchanges a day.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performed three times a week; each session is for about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hours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</w:tc>
      </w:tr>
      <w:tr>
        <w:trPr>
          <w:trHeight w:val="328" w:hRule="auto"/>
          <w:jc w:val="left"/>
        </w:trPr>
        <w:tc>
          <w:tcPr>
            <w:tcW w:w="5336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Used for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ptn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can't move , very obese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Don't have access for hospital </w:t>
            </w:r>
          </w:p>
        </w:tc>
        <w:tc>
          <w:tcPr>
            <w:tcW w:w="53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Heparin is used to prevent activation of the clotting cascade by dialysis membranes( anticoagulant </w:t>
            </w:r>
            <w:r>
              <w:rPr>
                <w:rFonts w:ascii="Calibri" w:hAnsi="Calibri" w:cs="Calibri" w:eastAsia="Calibri"/>
                <w:i/>
                <w:color w:val="1D1B11"/>
                <w:spacing w:val="0"/>
                <w:position w:val="0"/>
                <w:sz w:val="32"/>
                <w:shd w:fill="auto" w:val="clear"/>
              </w:rPr>
              <w:t xml:space="preserve">)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**Relies on the patient’s blood being exposed to a solution hypotonic in metabolites (dialysate) across a semi-permeable membrane.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EEECE1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-Renal transplant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only in end stage renal failurewhen dialysis failed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*Is limited by the availability of donor organs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*Complications include: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-Increased incidence of cardiovascular disease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-Increased incidence of malignancies (skin, lymphoma...)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-Side effects of drugs: steroids, Immunosuppression.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Dental aspect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Oral manifestations: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Halitosis due to increased blood level of urea and ammonia; distinctive smell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Xerostomia ; due to fluid restriction, medications(Antihypertensive drugs).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Metallic taste due to increased blood level of urea and changes in salivary PH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Mucosal pallor due to anaemia 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Uremic stomatitis:  usually seen in last  stage renal disease and maybe need renal transpernt  and present as oral mucosal erythema and ulceration 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Petechia and echymosis due to uremia induced platelet dysfunction 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Delayed eruption of teeth and enamel hypoplasia in children have renal disease 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Salivary gland swelling in dialysis.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Oral manifestations related to renal osteodystrophy and include: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Osteoporosis and osteolytic areas;appear on  x-ray bone loss or cystic lesion.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Loss of lamina dura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Decreased bone trabeculation 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Ground glass appearance Paget's disease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Secondary hyperparathyroidism may lead to giant cell lesions (brown tumour).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Oral manifestations related to Immunosuppressent drugs after renal transplant and include:</w:t>
      </w:r>
    </w:p>
    <w:p>
      <w:pPr>
        <w:numPr>
          <w:ilvl w:val="0"/>
          <w:numId w:val="52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oral infections (candidal infection , frequently recurrent herpes labials) </w:t>
      </w:r>
    </w:p>
    <w:p>
      <w:pPr>
        <w:numPr>
          <w:ilvl w:val="0"/>
          <w:numId w:val="52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hairy leukoplakia. </w:t>
      </w:r>
    </w:p>
    <w:p>
      <w:pPr>
        <w:numPr>
          <w:ilvl w:val="0"/>
          <w:numId w:val="52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Cyclosporine induced gingival hyperplasia , Adalat,phynotin</w:t>
      </w:r>
    </w:p>
    <w:p>
      <w:pPr>
        <w:numPr>
          <w:ilvl w:val="0"/>
          <w:numId w:val="52"/>
        </w:numPr>
        <w:spacing w:before="0" w:after="200" w:line="276"/>
        <w:ind w:right="0" w:left="8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Increased incidence of skin ,lymphoma , and lip cancer.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Dental treatment may be complicated by: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Bleeding tendency due to uraemia induced platelet dysfunction or the use of heparin.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Anaemia due to reduced erythropoietin production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Associated co morbidities such as diabetes, hypertension, and congestive heart failure 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Dysrhythmias due to hyperkalaemia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Impaired drug excretion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Increased susceptibility to infection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Blood born infections (HBV, HCV, HIV)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Corticosteroid and Immunosuppression therapy  post transplant.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Management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Consultation with renal physician is advised before treatment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Most patients are best treated under LA; GA can be complicated by anaemia and electrolytes disturbances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Patients are best treated the day after dialysis when there has been maximal benefit from dialysis and the effect of heparin has worn off 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Bleeding tendency should be excluded before surgical procedures (bleeding time, PT, PTT, INR) and local haemostatic measures should be applied .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Antibiotic prophylaxis is recommended before surgical procedures because of the increased susceptibility to infection and to prevent infection of the arterio-venous fistulae in dialysis patients 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Early and aggressive treatment of odontogenic infections is advised to prevent spread of infection 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Corticosteroid cover may be required before surgical procedures  in patients treated with systemic steroids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Avoid the use of A-V fistula 's hand for blood pressure measurement use another hand , I.V sedation or venipuncture.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NSAIDs, aspirin, tetracyclins, gentamycin are nephrotoxic and should be avoided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Local anaesthesia is safe 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Paracetamole is safe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Paracetamole and opioids “ codeine”  hydrolyzed in the liver so they are safe.</w:t>
      </w:r>
    </w:p>
    <w:p>
      <w:pPr>
        <w:numPr>
          <w:ilvl w:val="0"/>
          <w:numId w:val="56"/>
        </w:numPr>
        <w:spacing w:before="0" w:after="200" w:line="276"/>
        <w:ind w:right="0" w:left="50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amoxicillin, ampicillin, metronidazole, clindamycin, lincomycin( nephrotoxic)  dose should be reduced according to renal function (GFR) so adult dose for amoxicillin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500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mg  but for renal ptn use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mg and preferable to use erytromycin derivatieves with normal dose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**patient attended to the clinic has Mild chronic renal failure according the GFR we should: 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Consult physician to determine the stage of the disease 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 aware of associated co-morbidities such as diabetes and hypertension 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Avoid nephrotoxic drugs (NSAIDs, tetracycline, aminoglycosides), and adjust drug dosage according to GFR 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Consider bleeding tendency espcially if invasive dental procedure is planned (arrange BT, hemostatic measures).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**Patients on peritoneal dialysis have the same guide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Patients on haemodialysis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Same previous guidelines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+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Dental treatment is best performed the day after dialysis ; because the effect of heparin is reduced and the patient had the maximum benefit of dialysis; so less risk of infection.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avoid trauma to the A-V fistula, don't use for blood pressure measurement or venepuncture 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Adjust drug dosage according to GFR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Prophylactic antibiotics are recommended before surgical procedures to prevent infection of A-V fistula.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Cross infection hazard (HBV, HCV, HIV)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Patients with kidney transplant: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**The same previous guidelines +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Consider steroid cover ; to prevent infection.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Consider prophylactic antibiotics; patients are immunosuppressed.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Erythromycin is contraindicated in patients taking cyclosporine because both are metabolized in kidney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Adjust drug dosage according to GFR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Examine oral mucosa and skin carefully especially lip; patients have increased risk of malignancy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6"/>
          <w:u w:val="single"/>
          <w:shd w:fill="auto" w:val="clear"/>
        </w:rPr>
        <w:t xml:space="preserve">Nephrotic syndrome: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*Patient has protienurea, Hypoalbumenemia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Hyperlipidemia,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Hypercoaguabiity  (increased blood concentration of clotting factors)  more susceptible thromboembolic event such as MI or CBA, so the patient is given warfarin.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Causes 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Idiopathic most often.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Diabetes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Amyloidosis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SLE, other autoimmune diseases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aps w:val="true"/>
          <w:color w:val="auto"/>
          <w:spacing w:val="0"/>
          <w:position w:val="0"/>
          <w:sz w:val="32"/>
          <w:u w:val="single"/>
          <w:shd w:fill="auto" w:val="clear"/>
        </w:rPr>
        <w:t xml:space="preserve">Dental treatment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**It’s treated as chronic renal failure treatment.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**Dental treatment is influenced by the degree of kidney malfunction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         Patients are usually treated with systemic steroids and anticoagulants.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   Patients are more susceptible to infection due to steroid therapy, hypoproteinemia, and hypoimmunoglubulinemia prophylactic antibiotics.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 Patients are usually treated with anti-coagulants (warfarin, heparin) to prevent thrombosis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 Treatment is very complicated : even warfarin and heparin is not taken the same as a patient suffering from cardiac condition, we have to manipulate the dose which is very difficult.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**Facial and labial oedema is common finding in these patients (why?) :hypoproteinemia ;so fluid will shift to the interstitial compartment causing facial edema.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4841" w:leader="none"/>
        </w:tabs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Written by :Saja AL-Qaralleh</w:t>
      </w:r>
    </w:p>
    <w:p>
      <w:pPr>
        <w:tabs>
          <w:tab w:val="left" w:pos="4841" w:leader="none"/>
        </w:tabs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Corrected by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 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Gayda AL-Faraheed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10">
    <w:abstractNumId w:val="90"/>
  </w:num>
  <w:num w:numId="12">
    <w:abstractNumId w:val="84"/>
  </w:num>
  <w:num w:numId="15">
    <w:abstractNumId w:val="78"/>
  </w:num>
  <w:num w:numId="17">
    <w:abstractNumId w:val="72"/>
  </w:num>
  <w:num w:numId="19">
    <w:abstractNumId w:val="66"/>
  </w:num>
  <w:num w:numId="21">
    <w:abstractNumId w:val="60"/>
  </w:num>
  <w:num w:numId="23">
    <w:abstractNumId w:val="54"/>
  </w:num>
  <w:num w:numId="47">
    <w:abstractNumId w:val="48"/>
  </w:num>
  <w:num w:numId="50">
    <w:abstractNumId w:val="42"/>
  </w:num>
  <w:num w:numId="52">
    <w:abstractNumId w:val="36"/>
  </w:num>
  <w:num w:numId="54">
    <w:abstractNumId w:val="30"/>
  </w:num>
  <w:num w:numId="56">
    <w:abstractNumId w:val="24"/>
  </w:num>
  <w:num w:numId="58">
    <w:abstractNumId w:val="18"/>
  </w:num>
  <w:num w:numId="60">
    <w:abstractNumId w:val="12"/>
  </w:num>
  <w:num w:numId="62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