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E5" w:rsidRDefault="00EB396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Sheet number 17 </w:t>
      </w:r>
    </w:p>
    <w:p w:rsidR="00EB3968" w:rsidRDefault="00EB396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Doctor </w:t>
      </w:r>
      <w:r w:rsidR="0023468C">
        <w:rPr>
          <w:rFonts w:asciiTheme="majorBidi" w:hAnsiTheme="majorBidi" w:cstheme="majorBidi"/>
          <w:sz w:val="28"/>
          <w:szCs w:val="28"/>
          <w:lang w:bidi="ar-JO"/>
        </w:rPr>
        <w:t>Omar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3468C">
        <w:rPr>
          <w:rFonts w:asciiTheme="majorBidi" w:hAnsiTheme="majorBidi" w:cstheme="majorBidi"/>
          <w:sz w:val="28"/>
          <w:szCs w:val="28"/>
          <w:lang w:bidi="ar-JO"/>
        </w:rPr>
        <w:t>Karadshe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EB3968" w:rsidRDefault="00EB396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Done by Rima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mackan  and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hashem abu safi </w:t>
      </w:r>
    </w:p>
    <w:p w:rsidR="00EB3968" w:rsidRPr="00EB3968" w:rsidRDefault="00EB396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0011E5" w:rsidRPr="00EB3968" w:rsidRDefault="000011E5" w:rsidP="007B6F43">
      <w:pPr>
        <w:pStyle w:val="Title"/>
        <w:bidi w:val="0"/>
        <w:ind w:right="-483"/>
        <w:rPr>
          <w:rtl/>
          <w:lang w:bidi="ar-JO"/>
        </w:rPr>
      </w:pPr>
      <w:r w:rsidRPr="00EB3968">
        <w:t>Local factors</w:t>
      </w:r>
    </w:p>
    <w:p w:rsidR="000011E5" w:rsidRPr="00EB3968" w:rsidRDefault="000011E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4434DB" w:rsidRPr="00EB3968" w:rsidRDefault="00E138D4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Overhanging</w:t>
      </w:r>
      <w:r w:rsidR="004434DB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restoration might be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mechanically</w:t>
      </w:r>
      <w:r w:rsidR="004434DB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invading the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space,</w:t>
      </w:r>
      <w:r w:rsidR="004434DB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>and aids in plaque accumulation.</w:t>
      </w:r>
    </w:p>
    <w:p w:rsidR="004434DB" w:rsidRPr="00EB3968" w:rsidRDefault="004434DB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How can we remove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them?</w:t>
      </w:r>
    </w:p>
    <w:p w:rsidR="004434DB" w:rsidRPr="00EB3968" w:rsidRDefault="004434DB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Ideally you should remove the whole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restoration,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but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it's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not that feasible cause sometimes you might end up removing more than you should or need</w:t>
      </w:r>
    </w:p>
    <w:p w:rsidR="004434DB" w:rsidRPr="00EB3968" w:rsidRDefault="004434DB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So what should you do concerning overhangs is to get the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Eva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system , now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the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Eva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system is made of a reciprocating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handp</w:t>
      </w:r>
      <w:r w:rsidR="0023468C">
        <w:rPr>
          <w:rFonts w:asciiTheme="majorBidi" w:hAnsiTheme="majorBidi" w:cstheme="majorBidi"/>
          <w:sz w:val="28"/>
          <w:szCs w:val="28"/>
          <w:lang w:bidi="ar-JO"/>
        </w:rPr>
        <w:t>ie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ce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that turns back and forth , it has a specific bur that removes the over hangs smoothly so it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doesn’t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cause any defect </w:t>
      </w:r>
    </w:p>
    <w:p w:rsidR="000011E5" w:rsidRPr="00EB3968" w:rsidRDefault="000011E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0011E5" w:rsidRPr="00EB3968" w:rsidRDefault="000011E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0011E5" w:rsidRPr="00EB3968" w:rsidRDefault="000011E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3543677"/>
            <wp:effectExtent l="19050" t="0" r="254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0011E5" w:rsidRPr="00EB3968" w:rsidRDefault="000011E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As you can see in this slide using the probe to remove the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overhang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will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most probably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cause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bleeding and a defect in the restoration</w:t>
      </w:r>
    </w:p>
    <w:p w:rsidR="000011E5" w:rsidRPr="00EB3968" w:rsidRDefault="000011E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0011E5" w:rsidRPr="00EB3968" w:rsidRDefault="000011E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5274310" cy="3434406"/>
            <wp:effectExtent l="0" t="0" r="0" b="0"/>
            <wp:docPr id="3" name="كائن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523412" cy="6200743"/>
                      <a:chOff x="1981200" y="624110"/>
                      <a:chExt cx="9523412" cy="6200743"/>
                    </a:xfrm>
                  </a:grpSpPr>
                  <a:sp>
                    <a:nvSpPr>
                      <a:cNvPr id="11981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2592925" y="624110"/>
                        <a:ext cx="8911687" cy="12808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t">
                          <a:normAutofit/>
                        </a:bodyPr>
                        <a:lstStyle>
                          <a:lvl1pPr algn="l" defTabSz="457200" rtl="0" eaLnBrk="1" latinLnBrk="0" hangingPunct="1">
                            <a:spcBef>
                              <a:spcPct val="0"/>
                            </a:spcBef>
                            <a:buNone/>
                            <a:defRPr sz="3600" kern="12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2pPr>
                          <a:lvl3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3pPr>
                          <a:lvl4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4pPr>
                          <a:lvl5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5pPr>
                          <a:lvl6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6pPr>
                          <a:lvl7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7pPr>
                          <a:lvl8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8pPr>
                          <a:lvl9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b="1" dirty="0"/>
                            <a:t>EVA SYSTEM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3795" name="Rectangle 3"/>
                      <a:cNvSpPr>
                        <a:spLocks noGrp="1" noChangeArrowheads="1"/>
                      </a:cNvSpPr>
                    </a:nvSpPr>
                    <a:spPr>
                      <a:xfrm>
                        <a:off x="1981200" y="1935480"/>
                        <a:ext cx="3898776" cy="473388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457200" rtl="0" eaLnBrk="1" latinLnBrk="0" hangingPunct="1">
                            <a:spcBef>
                              <a:spcPts val="1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Font typeface="Wingdings 3" charset="2"/>
                            <a:buChar char=""/>
                            <a:defRPr sz="18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457200" rtl="0" eaLnBrk="1" latinLnBrk="0" hangingPunct="1">
                            <a:spcBef>
                              <a:spcPts val="1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Font typeface="Wingdings 3" charset="2"/>
                            <a:buChar char=""/>
                            <a:defRPr sz="16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457200" rtl="0" eaLnBrk="1" latinLnBrk="0" hangingPunct="1">
                            <a:spcBef>
                              <a:spcPts val="1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Font typeface="Wingdings 3" charset="2"/>
                            <a:buChar char=""/>
                            <a:defRPr sz="14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457200" rtl="0" eaLnBrk="1" latinLnBrk="0" hangingPunct="1">
                            <a:spcBef>
                              <a:spcPts val="1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Font typeface="Wingdings 3" charset="2"/>
                            <a:buChar char=""/>
                            <a:defRPr sz="12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457200" rtl="0" eaLnBrk="1" latinLnBrk="0" hangingPunct="1">
                            <a:spcBef>
                              <a:spcPts val="1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Font typeface="Wingdings 3" charset="2"/>
                            <a:buChar char=""/>
                            <a:defRPr sz="12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457200" rtl="0" eaLnBrk="1" latinLnBrk="0" hangingPunct="1">
                            <a:spcBef>
                              <a:spcPts val="1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Font typeface="Wingdings 3" charset="2"/>
                            <a:buChar char=""/>
                            <a:defRPr sz="12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457200" rtl="0" eaLnBrk="1" latinLnBrk="0" hangingPunct="1">
                            <a:spcBef>
                              <a:spcPts val="1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Font typeface="Wingdings 3" charset="2"/>
                            <a:buChar char=""/>
                            <a:defRPr sz="12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457200" rtl="0" eaLnBrk="1" latinLnBrk="0" hangingPunct="1">
                            <a:spcBef>
                              <a:spcPts val="1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Font typeface="Wingdings 3" charset="2"/>
                            <a:buChar char=""/>
                            <a:defRPr sz="12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457200" rtl="0" eaLnBrk="1" latinLnBrk="0" hangingPunct="1">
                            <a:spcBef>
                              <a:spcPts val="100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Font typeface="Wingdings 3" charset="2"/>
                            <a:buChar char=""/>
                            <a:defRPr sz="12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altLang="en-US" dirty="0" smtClean="0"/>
                            <a:t>Most efficient and least traumatic instruments for correcting overhangs or </a:t>
                          </a:r>
                          <a:r>
                            <a:rPr lang="en-US" altLang="en-US" dirty="0" err="1" smtClean="0"/>
                            <a:t>overcontoured</a:t>
                          </a:r>
                          <a:r>
                            <a:rPr lang="en-US" altLang="en-US" dirty="0" smtClean="0"/>
                            <a:t> proximal alloy or resin </a:t>
                          </a:r>
                        </a:p>
                        <a:p>
                          <a:pPr eaLnBrk="1" hangingPunct="1"/>
                          <a:r>
                            <a:rPr lang="en-US" altLang="en-US" dirty="0" smtClean="0"/>
                            <a:t>These files are made of Aluminum in the shape of a wedge protruding from a shaft. </a:t>
                          </a:r>
                        </a:p>
                        <a:p>
                          <a:pPr eaLnBrk="1" hangingPunct="1"/>
                          <a:endParaRPr lang="en-US" altLang="en-US" dirty="0" smtClean="0"/>
                        </a:p>
                        <a:p>
                          <a:pPr eaLnBrk="1" hangingPunct="1"/>
                          <a:r>
                            <a:rPr lang="en-US" altLang="en-US" dirty="0" smtClean="0"/>
                            <a:t>Reciprocating </a:t>
                          </a:r>
                          <a:r>
                            <a:rPr lang="en-US" altLang="en-US" dirty="0" err="1" smtClean="0"/>
                            <a:t>handpiece</a:t>
                          </a:r>
                          <a:r>
                            <a:rPr lang="en-US" altLang="en-US" dirty="0" smtClean="0"/>
                            <a:t>.</a:t>
                          </a:r>
                        </a:p>
                        <a:p>
                          <a:pPr eaLnBrk="1" hangingPunct="1"/>
                          <a:endParaRPr lang="en-US" altLang="en-US" dirty="0"/>
                        </a:p>
                        <a:p>
                          <a:pPr eaLnBrk="1" hangingPunct="1"/>
                          <a:endParaRPr lang="en-US" altLang="en-US" dirty="0" smtClean="0"/>
                        </a:p>
                        <a:p>
                          <a:pPr eaLnBrk="1" hangingPunct="1"/>
                          <a:endParaRPr lang="en-US" altLang="en-US" dirty="0"/>
                        </a:p>
                        <a:p>
                          <a:pPr eaLnBrk="1" hangingPunct="1"/>
                          <a:endParaRPr lang="en-US" altLang="en-US" dirty="0" smtClean="0"/>
                        </a:p>
                        <a:p>
                          <a:pPr eaLnBrk="1" hangingPunct="1"/>
                          <a:endParaRPr lang="en-US" altLang="en-US" dirty="0" smtClean="0"/>
                        </a:p>
                      </a:txBody>
                      <a:useSpRect/>
                    </a:txSp>
                  </a:sp>
                  <a:pic>
                    <a:nvPicPr>
                      <a:cNvPr id="57346" name="Picture 2" descr="Figure 8  Radiographic view of a mesial overhang on an amalgam restoration in the second maxillary molar."/>
                      <a:cNvPicPr>
                        <a:picLocks noChangeAspect="1" noChangeArrowheads="1"/>
                      </a:cNvPicPr>
                    </a:nvPicPr>
                    <a:blipFill>
                      <a:blip r:embed="rId7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96200" y="1578696"/>
                        <a:ext cx="2304256" cy="1720513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pic>
                    <a:nvPicPr>
                      <a:cNvPr id="5734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88188" y="3428617"/>
                        <a:ext cx="2520280" cy="16297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</a:pic>
                  <a:pic>
                    <a:nvPicPr>
                      <a:cNvPr id="57349" name="Picture 5" descr="Figure 10  Radiographic view of the reshaped and marginated overhang."/>
                      <a:cNvPicPr>
                        <a:picLocks noChangeAspect="1" noChangeArrowheads="1"/>
                      </a:cNvPicPr>
                    </a:nvPicPr>
                    <a:blipFill>
                      <a:blip r:embed="rId9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67422" y="5228674"/>
                        <a:ext cx="2520280" cy="1596179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</lc:lockedCanvas>
              </a:graphicData>
            </a:graphic>
          </wp:inline>
        </w:drawing>
      </w:r>
    </w:p>
    <w:p w:rsidR="000011E5" w:rsidRPr="00EB3968" w:rsidRDefault="000011E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As you can see it has special burs and the handpiece can go back and forth so you can remove it smoothly with the contour of the tooth</w:t>
      </w:r>
    </w:p>
    <w:p w:rsidR="000011E5" w:rsidRPr="00EB3968" w:rsidRDefault="000011E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0011E5" w:rsidRPr="00EB3968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Why</w:t>
      </w:r>
      <w:r w:rsidR="000011E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do we care about caries?</w:t>
      </w:r>
    </w:p>
    <w:p w:rsidR="000011E5" w:rsidRPr="00EB3968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1) Cause</w:t>
      </w:r>
      <w:r w:rsidR="0011350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caries is a disease and we should control it</w:t>
      </w:r>
    </w:p>
    <w:p w:rsidR="00113509" w:rsidRPr="00EB3968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2) Carious</w:t>
      </w:r>
      <w:r w:rsidR="0011350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lesions aid in plaque retention</w:t>
      </w:r>
    </w:p>
    <w:p w:rsidR="00113509" w:rsidRPr="00EB3968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3) Caries</w:t>
      </w:r>
      <w:r w:rsidR="0011350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is a source of bacteria </w:t>
      </w:r>
    </w:p>
    <w:p w:rsidR="00113509" w:rsidRPr="00EB3968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4) If</w:t>
      </w:r>
      <w:r w:rsidR="0011350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caries went 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>sub gingival</w:t>
      </w:r>
      <w:r w:rsidR="0011350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they’ll 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>invade</w:t>
      </w:r>
      <w:r w:rsidR="0011350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the cementum and cause loss of attachment </w:t>
      </w:r>
    </w:p>
    <w:p w:rsidR="00DB6939" w:rsidRPr="00EB3968" w:rsidRDefault="00DB6939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DB6939" w:rsidRPr="00EB3968" w:rsidRDefault="00DB6939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DB6939" w:rsidRPr="00EB3968" w:rsidRDefault="00DB6939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So what do we do about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caries?</w:t>
      </w:r>
    </w:p>
    <w:p w:rsidR="00DB6939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Clean it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as much as you can or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temporize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the situation until you can put your final restoration</w:t>
      </w:r>
    </w:p>
    <w:p w:rsidR="00A5543F" w:rsidRPr="00EB3968" w:rsidRDefault="00A5543F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DB6939" w:rsidRPr="00EB3968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What</w:t>
      </w:r>
      <w:r w:rsidR="00DB693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are the conditions you give antibiotics 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>for?</w:t>
      </w:r>
    </w:p>
    <w:p w:rsidR="00DB6939" w:rsidRPr="00EB3968" w:rsidRDefault="00DB6939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If there was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a spread for any disease gives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antibiotics </w:t>
      </w:r>
    </w:p>
    <w:p w:rsidR="00DB6939" w:rsidRPr="00EB3968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Indications:</w:t>
      </w:r>
      <w:r w:rsidR="00DB693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DB6939" w:rsidRPr="00EB3968" w:rsidRDefault="00E138D4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1) Aggressive periodo</w:t>
      </w:r>
      <w:r w:rsidR="00EB3968">
        <w:rPr>
          <w:rFonts w:asciiTheme="majorBidi" w:hAnsiTheme="majorBidi" w:cstheme="majorBidi"/>
          <w:sz w:val="28"/>
          <w:szCs w:val="28"/>
          <w:lang w:bidi="ar-JO"/>
        </w:rPr>
        <w:t>ntitis</w:t>
      </w:r>
      <w:r w:rsidR="00EB396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</w:p>
    <w:p w:rsidR="00E761A7" w:rsidRPr="00EB3968" w:rsidRDefault="00DB6939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EB3968">
        <w:rPr>
          <w:rFonts w:asciiTheme="majorBidi" w:hAnsiTheme="majorBidi" w:cstheme="majorBidi"/>
          <w:sz w:val="28"/>
          <w:szCs w:val="28"/>
          <w:lang w:bidi="ar-JO"/>
        </w:rPr>
        <w:t xml:space="preserve">2)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Severe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g</w:t>
      </w:r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eneralized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chronic</w:t>
      </w:r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gingivitis</w:t>
      </w:r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E761A7" w:rsidRPr="00EB3968" w:rsidRDefault="00EB396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3) </w:t>
      </w:r>
      <w:r w:rsidR="00DB693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Necrotizing</w:t>
      </w:r>
      <w:r w:rsidR="00DB693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gingivitis</w:t>
      </w:r>
      <w:r w:rsidR="00DB6939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if there were systemic signs such as fever and malaise</w:t>
      </w:r>
    </w:p>
    <w:p w:rsidR="00E761A7" w:rsidRPr="00E138D4" w:rsidRDefault="0023468C" w:rsidP="007B6F43">
      <w:pPr>
        <w:bidi w:val="0"/>
        <w:ind w:right="-483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E138D4">
        <w:rPr>
          <w:rFonts w:asciiTheme="majorBidi" w:hAnsiTheme="majorBidi" w:cstheme="majorBidi"/>
          <w:b/>
          <w:bCs/>
          <w:sz w:val="28"/>
          <w:szCs w:val="28"/>
          <w:lang w:bidi="ar-JO"/>
        </w:rPr>
        <w:t>However</w:t>
      </w:r>
      <w:r w:rsidR="00E761A7" w:rsidRPr="00E138D4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if we had a fistula we don’t give antibiotics cause fistula means that there is already drainage </w:t>
      </w:r>
    </w:p>
    <w:p w:rsidR="00E761A7" w:rsidRPr="00EB3968" w:rsidRDefault="00E138D4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4)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Uncontrolled</w:t>
      </w:r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diabetes or immune compromised</w:t>
      </w:r>
      <w:r w:rsidR="00EB396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</w:p>
    <w:p w:rsidR="00E761A7" w:rsidRPr="00EB3968" w:rsidRDefault="00E761A7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E761A7" w:rsidRPr="00EB3968" w:rsidRDefault="00E761A7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E761A7" w:rsidRPr="00EB3968" w:rsidRDefault="00BD6E89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Features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of the Ideal antibiotic:</w:t>
      </w:r>
    </w:p>
    <w:p w:rsidR="00B42955" w:rsidRPr="00BD6E89" w:rsidRDefault="00BD6E89" w:rsidP="007B6F43">
      <w:pPr>
        <w:pStyle w:val="ListParagraph"/>
        <w:numPr>
          <w:ilvl w:val="0"/>
          <w:numId w:val="5"/>
        </w:num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BD6E89">
        <w:rPr>
          <w:rFonts w:asciiTheme="majorBidi" w:hAnsiTheme="majorBidi" w:cstheme="majorBidi"/>
          <w:sz w:val="28"/>
          <w:szCs w:val="28"/>
          <w:lang w:bidi="ar-JO"/>
        </w:rPr>
        <w:lastRenderedPageBreak/>
        <w:t>Selective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to</w:t>
      </w:r>
      <w:r w:rsidR="00E761A7" w:rsidRPr="00BD6E89">
        <w:rPr>
          <w:rFonts w:asciiTheme="majorBidi" w:hAnsiTheme="majorBidi" w:cstheme="majorBidi"/>
          <w:sz w:val="28"/>
          <w:szCs w:val="28"/>
          <w:lang w:bidi="ar-JO"/>
        </w:rPr>
        <w:t xml:space="preserve"> the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targeted </w:t>
      </w:r>
      <w:r w:rsidR="00E761A7" w:rsidRPr="00BD6E89">
        <w:rPr>
          <w:rFonts w:asciiTheme="majorBidi" w:hAnsiTheme="majorBidi" w:cstheme="majorBidi"/>
          <w:sz w:val="28"/>
          <w:szCs w:val="28"/>
          <w:lang w:bidi="ar-JO"/>
        </w:rPr>
        <w:t>microbe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  <w:r w:rsidR="00E761A7" w:rsidRPr="00BD6E89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E761A7" w:rsidRPr="00BD6E89" w:rsidRDefault="0023468C" w:rsidP="007B6F43">
      <w:pPr>
        <w:pStyle w:val="ListParagraph"/>
        <w:numPr>
          <w:ilvl w:val="0"/>
          <w:numId w:val="5"/>
        </w:num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BD6E89">
        <w:rPr>
          <w:rFonts w:asciiTheme="majorBidi" w:hAnsiTheme="majorBidi" w:cstheme="majorBidi"/>
          <w:sz w:val="28"/>
          <w:szCs w:val="28"/>
          <w:lang w:bidi="ar-JO"/>
        </w:rPr>
        <w:t>Doesn’t</w:t>
      </w:r>
      <w:r w:rsidR="00E761A7" w:rsidRPr="00BD6E89">
        <w:rPr>
          <w:rFonts w:asciiTheme="majorBidi" w:hAnsiTheme="majorBidi" w:cstheme="majorBidi"/>
          <w:sz w:val="28"/>
          <w:szCs w:val="28"/>
          <w:lang w:bidi="ar-JO"/>
        </w:rPr>
        <w:t xml:space="preserve"> have side effects</w:t>
      </w:r>
      <w:r w:rsidR="00BD6E89">
        <w:rPr>
          <w:rFonts w:asciiTheme="majorBidi" w:hAnsiTheme="majorBidi" w:cstheme="majorBidi"/>
          <w:sz w:val="28"/>
          <w:szCs w:val="28"/>
          <w:lang w:bidi="ar-JO"/>
        </w:rPr>
        <w:t>.</w:t>
      </w:r>
      <w:r w:rsidR="00E761A7" w:rsidRPr="00BD6E89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42955" w:rsidRPr="00BD6E8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</w:p>
    <w:p w:rsidR="00E761A7" w:rsidRPr="00BD6E89" w:rsidRDefault="0023468C" w:rsidP="007B6F43">
      <w:pPr>
        <w:pStyle w:val="ListParagraph"/>
        <w:numPr>
          <w:ilvl w:val="0"/>
          <w:numId w:val="5"/>
        </w:num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BD6E89">
        <w:rPr>
          <w:rFonts w:asciiTheme="majorBidi" w:hAnsiTheme="majorBidi" w:cstheme="majorBidi"/>
          <w:sz w:val="28"/>
          <w:szCs w:val="28"/>
          <w:lang w:bidi="ar-JO"/>
        </w:rPr>
        <w:t>Safe</w:t>
      </w:r>
      <w:r w:rsidR="00BD6E8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E761A7" w:rsidRPr="00BD6E89" w:rsidRDefault="00BD6E89" w:rsidP="007B6F43">
      <w:pPr>
        <w:pStyle w:val="ListParagraph"/>
        <w:numPr>
          <w:ilvl w:val="0"/>
          <w:numId w:val="5"/>
        </w:num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BD6E89">
        <w:rPr>
          <w:rFonts w:asciiTheme="majorBidi" w:hAnsiTheme="majorBidi" w:cstheme="majorBidi"/>
          <w:sz w:val="28"/>
          <w:szCs w:val="28"/>
          <w:lang w:bidi="ar-JO"/>
        </w:rPr>
        <w:t>Doesn’t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induce</w:t>
      </w:r>
      <w:r w:rsidR="00E761A7" w:rsidRPr="00BD6E89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BD6E89">
        <w:rPr>
          <w:rFonts w:asciiTheme="majorBidi" w:hAnsiTheme="majorBidi" w:cstheme="majorBidi"/>
          <w:sz w:val="28"/>
          <w:szCs w:val="28"/>
          <w:lang w:bidi="ar-JO"/>
        </w:rPr>
        <w:t>resistance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E761A7" w:rsidRPr="00BD6E89" w:rsidRDefault="00BD6E89" w:rsidP="007B6F43">
      <w:pPr>
        <w:pStyle w:val="ListParagraph"/>
        <w:numPr>
          <w:ilvl w:val="0"/>
          <w:numId w:val="5"/>
        </w:num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Able to </w:t>
      </w:r>
      <w:r w:rsidR="00E761A7" w:rsidRPr="00BD6E89">
        <w:rPr>
          <w:rFonts w:asciiTheme="majorBidi" w:hAnsiTheme="majorBidi" w:cstheme="majorBidi"/>
          <w:sz w:val="28"/>
          <w:szCs w:val="28"/>
          <w:lang w:bidi="ar-JO"/>
        </w:rPr>
        <w:t xml:space="preserve">stay in the body for a good amount of </w:t>
      </w:r>
      <w:r>
        <w:rPr>
          <w:rFonts w:asciiTheme="majorBidi" w:hAnsiTheme="majorBidi" w:cstheme="majorBidi"/>
          <w:sz w:val="28"/>
          <w:szCs w:val="28"/>
          <w:lang w:bidi="ar-JO"/>
        </w:rPr>
        <w:t>time to eliminate the condition.</w:t>
      </w:r>
    </w:p>
    <w:p w:rsidR="00E761A7" w:rsidRPr="00BD6E89" w:rsidRDefault="00BD6E89" w:rsidP="007B6F43">
      <w:pPr>
        <w:pStyle w:val="ListParagraph"/>
        <w:numPr>
          <w:ilvl w:val="0"/>
          <w:numId w:val="5"/>
        </w:num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Cheap.</w:t>
      </w:r>
    </w:p>
    <w:p w:rsidR="00E761A7" w:rsidRPr="00EB3968" w:rsidRDefault="00E761A7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E761A7" w:rsidRPr="00EB3968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The</w:t>
      </w:r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thing is the oral cavity is polymicrobial so you 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>can't</w:t>
      </w:r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give an antibiotic for it unless it’s a broad spe</w:t>
      </w:r>
      <w:r w:rsidR="00BD6E89">
        <w:rPr>
          <w:rFonts w:asciiTheme="majorBidi" w:hAnsiTheme="majorBidi" w:cstheme="majorBidi"/>
          <w:sz w:val="28"/>
          <w:szCs w:val="28"/>
          <w:lang w:bidi="ar-JO"/>
        </w:rPr>
        <w:t>ctrum drug, and that will induce</w:t>
      </w:r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resistance </w:t>
      </w:r>
    </w:p>
    <w:p w:rsidR="00E761A7" w:rsidRPr="00BD6E89" w:rsidRDefault="00BD6E89" w:rsidP="007B6F43">
      <w:pPr>
        <w:bidi w:val="0"/>
        <w:ind w:right="-483"/>
        <w:rPr>
          <w:rFonts w:asciiTheme="majorBidi" w:hAnsiTheme="majorBidi" w:cstheme="majorBidi"/>
          <w:i/>
          <w:iCs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W</w:t>
      </w:r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e are not going to talk a lot about this however they have recently discovered that a </w:t>
      </w:r>
      <w:r w:rsidR="00E761A7" w:rsidRPr="00BD6E89">
        <w:rPr>
          <w:rFonts w:asciiTheme="majorBidi" w:hAnsiTheme="majorBidi" w:cstheme="majorBidi"/>
          <w:i/>
          <w:iCs/>
          <w:sz w:val="28"/>
          <w:szCs w:val="28"/>
          <w:lang w:bidi="ar-JO"/>
        </w:rPr>
        <w:t xml:space="preserve">combination therapy is better regarding periodontal issues </w:t>
      </w:r>
    </w:p>
    <w:p w:rsidR="00E761A7" w:rsidRPr="00EB3968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The</w:t>
      </w:r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best combination </w:t>
      </w:r>
      <w:proofErr w:type="gramStart"/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>is :</w:t>
      </w:r>
      <w:proofErr w:type="gramEnd"/>
      <w:r w:rsidR="00E761A7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E761A7" w:rsidRPr="00EB3968" w:rsidRDefault="00E761A7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val="en-IE" w:bidi="ar-JO"/>
        </w:rPr>
      </w:pPr>
      <w:r w:rsidRPr="00BD6E89">
        <w:rPr>
          <w:rFonts w:asciiTheme="majorBidi" w:hAnsiTheme="majorBidi" w:cstheme="majorBidi"/>
          <w:i/>
          <w:iCs/>
          <w:sz w:val="28"/>
          <w:szCs w:val="28"/>
          <w:lang w:val="en-IE" w:bidi="ar-JO"/>
        </w:rPr>
        <w:t>Metronidazole + amoxicillin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>covers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a good spectrum and less resistance a</w:t>
      </w:r>
      <w:r w:rsidR="00BD6E89">
        <w:rPr>
          <w:rFonts w:asciiTheme="majorBidi" w:hAnsiTheme="majorBidi" w:cstheme="majorBidi"/>
          <w:sz w:val="28"/>
          <w:szCs w:val="28"/>
          <w:lang w:val="en-IE" w:bidi="ar-JO"/>
        </w:rPr>
        <w:t>nd gives better attachment gain.</w:t>
      </w:r>
    </w:p>
    <w:p w:rsidR="00E761A7" w:rsidRPr="00EB3968" w:rsidRDefault="00E761A7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DB6939" w:rsidRPr="00EB3968" w:rsidRDefault="00E761A7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Again why do we give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antibiotics?</w:t>
      </w:r>
    </w:p>
    <w:p w:rsidR="00BD6E89" w:rsidRDefault="0023468C" w:rsidP="007B6F43">
      <w:pPr>
        <w:pStyle w:val="ListParagraph"/>
        <w:numPr>
          <w:ilvl w:val="0"/>
          <w:numId w:val="8"/>
        </w:num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BD6E89">
        <w:rPr>
          <w:rFonts w:asciiTheme="majorBidi" w:hAnsiTheme="majorBidi" w:cstheme="majorBidi"/>
          <w:sz w:val="28"/>
          <w:szCs w:val="28"/>
          <w:lang w:bidi="ar-JO"/>
        </w:rPr>
        <w:t>Because</w:t>
      </w:r>
      <w:r w:rsidR="00E761A7" w:rsidRPr="00BD6E89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64185" w:rsidRPr="00BD6E89">
        <w:rPr>
          <w:rFonts w:asciiTheme="majorBidi" w:hAnsiTheme="majorBidi" w:cstheme="majorBidi"/>
          <w:sz w:val="28"/>
          <w:szCs w:val="28"/>
          <w:lang w:bidi="ar-JO"/>
        </w:rPr>
        <w:t xml:space="preserve">some </w:t>
      </w:r>
      <w:r w:rsidRPr="00BD6E89">
        <w:rPr>
          <w:rFonts w:asciiTheme="majorBidi" w:hAnsiTheme="majorBidi" w:cstheme="majorBidi"/>
          <w:sz w:val="28"/>
          <w:szCs w:val="28"/>
          <w:lang w:bidi="ar-JO"/>
        </w:rPr>
        <w:t>areas</w:t>
      </w:r>
      <w:r w:rsidR="00264185" w:rsidRPr="00BD6E89">
        <w:rPr>
          <w:rFonts w:asciiTheme="majorBidi" w:hAnsiTheme="majorBidi" w:cstheme="majorBidi"/>
          <w:sz w:val="28"/>
          <w:szCs w:val="28"/>
          <w:lang w:bidi="ar-JO"/>
        </w:rPr>
        <w:t xml:space="preserve"> are inaccessible</w:t>
      </w:r>
    </w:p>
    <w:p w:rsidR="00264185" w:rsidRPr="00BD6E89" w:rsidRDefault="00264185" w:rsidP="007B6F43">
      <w:pPr>
        <w:pStyle w:val="ListParagraph"/>
        <w:numPr>
          <w:ilvl w:val="0"/>
          <w:numId w:val="8"/>
        </w:num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BD6E89">
        <w:rPr>
          <w:rFonts w:asciiTheme="majorBidi" w:hAnsiTheme="majorBidi" w:cstheme="majorBidi"/>
          <w:sz w:val="28"/>
          <w:szCs w:val="28"/>
          <w:lang w:bidi="ar-JO"/>
        </w:rPr>
        <w:t xml:space="preserve">Fear of bacteria invading tissue </w:t>
      </w:r>
    </w:p>
    <w:p w:rsidR="00264185" w:rsidRPr="00BD6E89" w:rsidRDefault="0023468C" w:rsidP="007B6F43">
      <w:pPr>
        <w:pStyle w:val="ListParagraph"/>
        <w:numPr>
          <w:ilvl w:val="0"/>
          <w:numId w:val="8"/>
        </w:num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BD6E89">
        <w:rPr>
          <w:rFonts w:asciiTheme="majorBidi" w:hAnsiTheme="majorBidi" w:cstheme="majorBidi"/>
          <w:sz w:val="28"/>
          <w:szCs w:val="28"/>
          <w:lang w:bidi="ar-JO"/>
        </w:rPr>
        <w:t>Deep</w:t>
      </w:r>
      <w:r w:rsidR="00264185" w:rsidRPr="00BD6E89">
        <w:rPr>
          <w:rFonts w:asciiTheme="majorBidi" w:hAnsiTheme="majorBidi" w:cstheme="majorBidi"/>
          <w:sz w:val="28"/>
          <w:szCs w:val="28"/>
          <w:lang w:bidi="ar-JO"/>
        </w:rPr>
        <w:t xml:space="preserve"> pockets </w:t>
      </w:r>
    </w:p>
    <w:p w:rsidR="00264185" w:rsidRPr="00EB3968" w:rsidRDefault="0026418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Why not just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antibiotic?</w:t>
      </w:r>
    </w:p>
    <w:p w:rsidR="00264185" w:rsidRPr="00EB3968" w:rsidRDefault="0023468C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Because</w:t>
      </w:r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the effect will be 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>temporary,</w:t>
      </w:r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D6E89">
        <w:rPr>
          <w:rFonts w:asciiTheme="majorBidi" w:hAnsiTheme="majorBidi" w:cstheme="majorBidi"/>
          <w:sz w:val="28"/>
          <w:szCs w:val="28"/>
          <w:lang w:bidi="ar-JO"/>
        </w:rPr>
        <w:t>be</w:t>
      </w:r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cause the cause </w:t>
      </w:r>
      <w:r>
        <w:rPr>
          <w:rFonts w:asciiTheme="majorBidi" w:hAnsiTheme="majorBidi" w:cstheme="majorBidi"/>
          <w:sz w:val="28"/>
          <w:szCs w:val="28"/>
          <w:lang w:bidi="ar-JO"/>
        </w:rPr>
        <w:t>of</w:t>
      </w:r>
      <w:r w:rsidR="00BD6E89">
        <w:rPr>
          <w:rFonts w:asciiTheme="majorBidi" w:hAnsiTheme="majorBidi" w:cstheme="majorBidi"/>
          <w:sz w:val="28"/>
          <w:szCs w:val="28"/>
          <w:lang w:bidi="ar-JO"/>
        </w:rPr>
        <w:t xml:space="preserve"> the disease would</w:t>
      </w:r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still </w:t>
      </w:r>
      <w:r w:rsidR="00BD6E89">
        <w:rPr>
          <w:rFonts w:asciiTheme="majorBidi" w:hAnsiTheme="majorBidi" w:cstheme="majorBidi"/>
          <w:sz w:val="28"/>
          <w:szCs w:val="28"/>
          <w:lang w:bidi="ar-JO"/>
        </w:rPr>
        <w:t xml:space="preserve">be 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>there,</w:t>
      </w:r>
      <w:r w:rsidR="00BD6E89">
        <w:rPr>
          <w:rFonts w:asciiTheme="majorBidi" w:hAnsiTheme="majorBidi" w:cstheme="majorBidi"/>
          <w:sz w:val="28"/>
          <w:szCs w:val="28"/>
          <w:lang w:bidi="ar-JO"/>
        </w:rPr>
        <w:t xml:space="preserve"> so the effect would</w:t>
      </w:r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be short 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>term,</w:t>
      </w:r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so you should always do your procedures along with antibiotics once needed </w:t>
      </w:r>
    </w:p>
    <w:p w:rsidR="00264185" w:rsidRPr="00EB3968" w:rsidRDefault="0026418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264185" w:rsidRPr="00EB3968" w:rsidRDefault="008F7E6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1377315</wp:posOffset>
            </wp:positionV>
            <wp:extent cx="7110730" cy="6458585"/>
            <wp:effectExtent l="19050" t="0" r="0" b="0"/>
            <wp:wrapSquare wrapText="bothSides"/>
            <wp:docPr id="10" name="صورة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64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This</w:t>
      </w:r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chart is about how you should address the problem in a systemic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manner,</w:t>
      </w:r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read it and try to understand the concept behind it </w:t>
      </w:r>
      <w:proofErr w:type="gramStart"/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>cause</w:t>
      </w:r>
      <w:proofErr w:type="gramEnd"/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the doctor will probably ask about this in the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exam,</w:t>
      </w:r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the question will be almost based on which of the following will need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surgery? </w:t>
      </w:r>
    </w:p>
    <w:p w:rsidR="00264185" w:rsidRPr="00EB3968" w:rsidRDefault="0026418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8F7E68" w:rsidRDefault="0026418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inline distT="0" distB="0" distL="0" distR="0">
            <wp:extent cx="6509071" cy="3900668"/>
            <wp:effectExtent l="19050" t="0" r="0" b="0"/>
            <wp:docPr id="9" name="كائن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801100" cy="6033960"/>
                      <a:chOff x="1703512" y="589856"/>
                      <a:chExt cx="9801100" cy="603396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2592925" y="624110"/>
                        <a:ext cx="8911687" cy="12808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t">
                          <a:normAutofit/>
                        </a:bodyPr>
                        <a:lstStyle>
                          <a:lvl1pPr algn="l" defTabSz="457200" rtl="0" eaLnBrk="1" latinLnBrk="0" hangingPunct="1">
                            <a:spcBef>
                              <a:spcPct val="0"/>
                            </a:spcBef>
                            <a:buNone/>
                            <a:defRPr sz="3600" kern="12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2pPr>
                          <a:lvl3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3pPr>
                          <a:lvl4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4pPr>
                          <a:lvl5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5pPr>
                          <a:lvl6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6pPr>
                          <a:lvl7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7pPr>
                          <a:lvl8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8pPr>
                          <a:lvl9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9pPr>
                        </a:lstStyle>
                        <a:p>
                          <a:r>
                            <a:rPr lang="en-IE" dirty="0" smtClean="0"/>
                            <a:t>Systemic antibiotics</a:t>
                          </a:r>
                          <a:endParaRPr lang="en-IE" dirty="0"/>
                        </a:p>
                      </a:txBody>
                      <a:useSpRect/>
                    </a:txSp>
                  </a:sp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1703513" y="1124747"/>
                        <a:ext cx="7901101" cy="5499069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703512" y="589856"/>
                        <a:ext cx="9432032" cy="230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91440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altLang="en-US" sz="900" b="1">
                              <a:solidFill>
                                <a:srgbClr val="00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TABLE 47-2</a:t>
                          </a:r>
                          <a:r>
                            <a:rPr lang="en-US" altLang="en-US" sz="900">
                              <a:solidFill>
                                <a:srgbClr val="00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  </a:t>
                          </a:r>
                          <a:r>
                            <a:rPr lang="en-US" altLang="en-US" sz="900" b="1">
                              <a:solidFill>
                                <a:srgbClr val="00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 -- Common Antibiotic Regimens Used to Treat Periodontal Diseases</a:t>
                          </a:r>
                          <a:r>
                            <a:rPr lang="en-US" altLang="en-US" sz="900" b="1">
                              <a:solidFill>
                                <a:srgbClr val="0066CC"/>
                              </a:solidFill>
                              <a:latin typeface="Arial" pitchFamily="34" charset="0"/>
                              <a:cs typeface="Arial" pitchFamily="34" charset="0"/>
                              <a:hlinkClick r:id="rId12"/>
                            </a:rPr>
                            <a:t>*</a:t>
                          </a:r>
                          <a:endParaRPr lang="en-US" altLang="en-US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84621" w:rsidRPr="00EB3968" w:rsidRDefault="0026418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in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severe cases you can give 400 mg of metronidozole , if the patient is allergic then give ciprofloxacin instead </w:t>
      </w:r>
      <w:r w:rsidR="00084621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of amoxicillin </w:t>
      </w:r>
    </w:p>
    <w:p w:rsidR="00084621" w:rsidRPr="00EB3968" w:rsidRDefault="00084621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084621" w:rsidRPr="00EB3968" w:rsidRDefault="00084621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There is something called local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antibiotics ,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these are antibiotics that are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concentrated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locally to have better effect on the bacteria and less systemic effect </w:t>
      </w:r>
    </w:p>
    <w:p w:rsidR="00084621" w:rsidRPr="00EB3968" w:rsidRDefault="00084621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In general they discovered that it doesn’t really reduce that</w:t>
      </w:r>
      <w:r w:rsidR="00832528">
        <w:rPr>
          <w:rFonts w:asciiTheme="majorBidi" w:hAnsiTheme="majorBidi" w:cstheme="majorBidi"/>
          <w:sz w:val="28"/>
          <w:szCs w:val="28"/>
          <w:lang w:bidi="ar-JO"/>
        </w:rPr>
        <w:t xml:space="preserve"> much almost a .5 mm difference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, the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American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academy of </w:t>
      </w:r>
      <w:proofErr w:type="spellStart"/>
      <w:r w:rsidRPr="00EB3968">
        <w:rPr>
          <w:rFonts w:asciiTheme="majorBidi" w:hAnsiTheme="majorBidi" w:cstheme="majorBidi"/>
          <w:sz w:val="28"/>
          <w:szCs w:val="28"/>
          <w:lang w:bidi="ar-JO"/>
        </w:rPr>
        <w:t>perio</w:t>
      </w:r>
      <w:r w:rsidR="00832528">
        <w:rPr>
          <w:rFonts w:asciiTheme="majorBidi" w:hAnsiTheme="majorBidi" w:cstheme="majorBidi"/>
          <w:sz w:val="28"/>
          <w:szCs w:val="28"/>
          <w:lang w:bidi="ar-JO"/>
        </w:rPr>
        <w:t>dontics</w:t>
      </w:r>
      <w:proofErr w:type="spell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did a guide line for it that says</w:t>
      </w:r>
      <w:r w:rsidR="00832528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if</w:t>
      </w:r>
      <w:r w:rsidR="0083252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for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instance you did a scaling and root planning for a tooth and the pocket depth was 5 mm</w:t>
      </w:r>
      <w:r w:rsidR="007B6F43">
        <w:rPr>
          <w:rFonts w:asciiTheme="majorBidi" w:hAnsiTheme="majorBidi" w:cstheme="majorBidi"/>
          <w:sz w:val="28"/>
          <w:szCs w:val="28"/>
          <w:lang w:bidi="ar-JO"/>
        </w:rPr>
        <w:t xml:space="preserve"> or more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, and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it's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still bleeding this might be an indication for a local antibiotic especially if it was in a local</w:t>
      </w:r>
      <w:r w:rsidR="00CE3B76">
        <w:rPr>
          <w:rFonts w:asciiTheme="majorBidi" w:hAnsiTheme="majorBidi" w:cstheme="majorBidi"/>
          <w:sz w:val="28"/>
          <w:szCs w:val="28"/>
          <w:lang w:bidi="ar-JO"/>
        </w:rPr>
        <w:t>ized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area , like 2 pockets so why to give systemic .</w:t>
      </w:r>
    </w:p>
    <w:p w:rsidR="00084621" w:rsidRPr="00EB3968" w:rsidRDefault="00084621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We only give systemic if it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were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generalized or </w:t>
      </w:r>
      <w:r w:rsidR="00CE3B76">
        <w:rPr>
          <w:rFonts w:asciiTheme="majorBidi" w:hAnsiTheme="majorBidi" w:cstheme="majorBidi"/>
          <w:sz w:val="28"/>
          <w:szCs w:val="28"/>
          <w:lang w:bidi="ar-JO"/>
        </w:rPr>
        <w:t>for instance we had one quadrant full of pockets.</w:t>
      </w:r>
    </w:p>
    <w:p w:rsidR="00264185" w:rsidRPr="00EB3968" w:rsidRDefault="00084621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One of the used localized antibiotics is </w:t>
      </w:r>
      <w:proofErr w:type="spellStart"/>
      <w:r w:rsidR="00CE3B76">
        <w:rPr>
          <w:rFonts w:asciiTheme="majorBidi" w:hAnsiTheme="majorBidi" w:cstheme="majorBidi"/>
          <w:sz w:val="28"/>
          <w:szCs w:val="28"/>
          <w:lang w:bidi="ar-JO"/>
        </w:rPr>
        <w:t>tetracyclic</w:t>
      </w:r>
      <w:proofErr w:type="spell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fibers ,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these fibers contain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tetracycline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you put them in the pocket</w:t>
      </w:r>
      <w:r w:rsidR="00CE3B76">
        <w:rPr>
          <w:rFonts w:asciiTheme="majorBidi" w:hAnsiTheme="majorBidi" w:cstheme="majorBidi"/>
          <w:sz w:val="28"/>
          <w:szCs w:val="28"/>
          <w:lang w:bidi="ar-JO"/>
        </w:rPr>
        <w:t>. T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he problem is these fibers are non 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resorbable their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existence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causes local factors such as inhibition of attachment so they </w:t>
      </w:r>
      <w:r w:rsidR="00167182" w:rsidRPr="00EB3968">
        <w:rPr>
          <w:rFonts w:asciiTheme="majorBidi" w:hAnsiTheme="majorBidi" w:cstheme="majorBidi"/>
          <w:sz w:val="28"/>
          <w:szCs w:val="28"/>
          <w:lang w:bidi="ar-JO"/>
        </w:rPr>
        <w:t>ar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e no longer available </w:t>
      </w:r>
      <w:r w:rsidR="00264185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167182" w:rsidRPr="00EB3968" w:rsidRDefault="00167182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>So they came up with doxycycline gel concentraton of 10% (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atridox )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so they discovered that when putting a gel into the pocket , </w:t>
      </w:r>
      <w:r w:rsidRPr="00CE3B76">
        <w:rPr>
          <w:rFonts w:asciiTheme="majorBidi" w:hAnsiTheme="majorBidi" w:cstheme="majorBidi"/>
          <w:i/>
          <w:iCs/>
          <w:sz w:val="28"/>
          <w:szCs w:val="28"/>
          <w:lang w:bidi="ar-JO"/>
        </w:rPr>
        <w:t>it gave the same results but resista</w:t>
      </w:r>
      <w:r w:rsidR="00CE3B76" w:rsidRPr="00CE3B76">
        <w:rPr>
          <w:rFonts w:asciiTheme="majorBidi" w:hAnsiTheme="majorBidi" w:cstheme="majorBidi"/>
          <w:i/>
          <w:iCs/>
          <w:sz w:val="28"/>
          <w:szCs w:val="28"/>
          <w:lang w:bidi="ar-JO"/>
        </w:rPr>
        <w:t>nce occurred</w:t>
      </w:r>
      <w:r w:rsidR="00CE3B76">
        <w:rPr>
          <w:rFonts w:asciiTheme="majorBidi" w:hAnsiTheme="majorBidi" w:cstheme="majorBidi"/>
          <w:sz w:val="28"/>
          <w:szCs w:val="28"/>
          <w:lang w:bidi="ar-JO"/>
        </w:rPr>
        <w:t xml:space="preserve"> unlike </w:t>
      </w:r>
      <w:proofErr w:type="spellStart"/>
      <w:r w:rsidR="00CE3B76">
        <w:rPr>
          <w:rFonts w:asciiTheme="majorBidi" w:hAnsiTheme="majorBidi" w:cstheme="majorBidi"/>
          <w:sz w:val="28"/>
          <w:szCs w:val="28"/>
          <w:lang w:bidi="ar-JO"/>
        </w:rPr>
        <w:t>tetracyclic</w:t>
      </w:r>
      <w:proofErr w:type="spellEnd"/>
      <w:r w:rsidR="00CE3B76">
        <w:rPr>
          <w:rFonts w:asciiTheme="majorBidi" w:hAnsiTheme="majorBidi" w:cstheme="majorBidi"/>
          <w:sz w:val="28"/>
          <w:szCs w:val="28"/>
          <w:lang w:bidi="ar-JO"/>
        </w:rPr>
        <w:t xml:space="preserve"> fibers that had no resistance.</w:t>
      </w:r>
    </w:p>
    <w:p w:rsidR="00167182" w:rsidRPr="00EB3968" w:rsidRDefault="00CE3B76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Metronidazole </w:t>
      </w:r>
      <w:r w:rsidRPr="00EB3968">
        <w:rPr>
          <w:rFonts w:asciiTheme="majorBidi" w:hAnsiTheme="majorBidi" w:cstheme="majorBidi" w:hint="cs"/>
          <w:sz w:val="28"/>
          <w:szCs w:val="28"/>
          <w:lang w:bidi="ar-JO"/>
        </w:rPr>
        <w:t>a</w:t>
      </w:r>
      <w:r w:rsidR="00167182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viscous material that hardens once it sets in the </w:t>
      </w:r>
      <w:proofErr w:type="gramStart"/>
      <w:r w:rsidR="00167182" w:rsidRPr="00EB3968">
        <w:rPr>
          <w:rFonts w:asciiTheme="majorBidi" w:hAnsiTheme="majorBidi" w:cstheme="majorBidi"/>
          <w:sz w:val="28"/>
          <w:szCs w:val="28"/>
          <w:lang w:bidi="ar-JO"/>
        </w:rPr>
        <w:t>tissue ,</w:t>
      </w:r>
      <w:proofErr w:type="gramEnd"/>
      <w:r w:rsidR="00167182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it reacts with the tissue , concentration is 25% applied once weekly for 6 weeks </w:t>
      </w:r>
    </w:p>
    <w:p w:rsidR="00167182" w:rsidRPr="00EB3968" w:rsidRDefault="00167182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The problem with all those local antibiotics is the multiple follow ups with the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patient ,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the resistance , and most importantly is it really coast effective ?</w:t>
      </w:r>
    </w:p>
    <w:p w:rsidR="00167182" w:rsidRPr="00EB3968" w:rsidRDefault="00167182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</w:p>
    <w:p w:rsidR="00167182" w:rsidRDefault="00167182" w:rsidP="007B6F43">
      <w:pPr>
        <w:pStyle w:val="Heading1"/>
        <w:bidi w:val="0"/>
        <w:ind w:right="-483"/>
        <w:rPr>
          <w:lang w:val="en-IE" w:bidi="ar-JO"/>
        </w:rPr>
      </w:pPr>
      <w:r w:rsidRPr="00EB3968">
        <w:rPr>
          <w:lang w:val="en-IE" w:bidi="ar-JO"/>
        </w:rPr>
        <w:t>Minocycline microspheres</w:t>
      </w:r>
    </w:p>
    <w:p w:rsidR="0023468C" w:rsidRPr="0023468C" w:rsidRDefault="0023468C" w:rsidP="007B6F43">
      <w:pPr>
        <w:bidi w:val="0"/>
        <w:ind w:right="-483"/>
        <w:rPr>
          <w:lang w:val="en-IE" w:bidi="ar-JO"/>
        </w:rPr>
      </w:pPr>
    </w:p>
    <w:p w:rsidR="00167182" w:rsidRPr="00EB3968" w:rsidRDefault="00167182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Studies prove that this works the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most,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it </w:t>
      </w:r>
      <w:r w:rsidRPr="00CE3B7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resorbs by </w:t>
      </w:r>
      <w:r w:rsidR="0023468C" w:rsidRPr="00CE3B76">
        <w:rPr>
          <w:rFonts w:asciiTheme="majorBidi" w:hAnsiTheme="majorBidi" w:cstheme="majorBidi"/>
          <w:b/>
          <w:bCs/>
          <w:sz w:val="28"/>
          <w:szCs w:val="28"/>
          <w:lang w:bidi="ar-JO"/>
        </w:rPr>
        <w:t>itself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and it has sustained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rel</w:t>
      </w:r>
      <w:r w:rsidR="0023468C">
        <w:rPr>
          <w:rFonts w:asciiTheme="majorBidi" w:hAnsiTheme="majorBidi" w:cstheme="majorBidi"/>
          <w:sz w:val="28"/>
          <w:szCs w:val="28"/>
          <w:lang w:bidi="ar-JO"/>
        </w:rPr>
        <w:t>e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ase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for 7-10 days then it resolves </w:t>
      </w:r>
    </w:p>
    <w:p w:rsidR="00C21883" w:rsidRDefault="00C21883" w:rsidP="007B6F43">
      <w:pPr>
        <w:pStyle w:val="Heading1"/>
        <w:bidi w:val="0"/>
        <w:ind w:right="-483"/>
        <w:rPr>
          <w:lang w:bidi="ar-JO"/>
        </w:rPr>
      </w:pPr>
      <w:r w:rsidRPr="00EB3968">
        <w:rPr>
          <w:lang w:val="en-IE" w:bidi="ar-JO"/>
        </w:rPr>
        <w:t>Chlorhexidine chip</w:t>
      </w:r>
      <w:r w:rsidRPr="00EB3968">
        <w:rPr>
          <w:lang w:bidi="ar-JO"/>
        </w:rPr>
        <w:t xml:space="preserve"> </w:t>
      </w:r>
    </w:p>
    <w:p w:rsidR="0023468C" w:rsidRPr="0023468C" w:rsidRDefault="0023468C" w:rsidP="007B6F43">
      <w:pPr>
        <w:bidi w:val="0"/>
        <w:ind w:right="-483"/>
        <w:rPr>
          <w:lang w:bidi="ar-JO"/>
        </w:rPr>
      </w:pPr>
    </w:p>
    <w:p w:rsidR="0023468C" w:rsidRDefault="00C21883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Also called perio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chips,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it has a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promising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future</w:t>
      </w:r>
    </w:p>
    <w:p w:rsidR="0023468C" w:rsidRPr="00EB3968" w:rsidRDefault="00C21883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C21883" w:rsidRPr="00EB3968" w:rsidRDefault="00C21883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So to sum up local antibiotics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vs.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systemic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antibiotics,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which is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better?</w:t>
      </w:r>
    </w:p>
    <w:p w:rsidR="00C21883" w:rsidRPr="00CE3B76" w:rsidRDefault="00C21883" w:rsidP="007B6F43">
      <w:pPr>
        <w:bidi w:val="0"/>
        <w:ind w:right="-483"/>
        <w:rPr>
          <w:rFonts w:asciiTheme="majorBidi" w:hAnsiTheme="majorBidi" w:cstheme="majorBidi"/>
          <w:i/>
          <w:iCs/>
          <w:sz w:val="28"/>
          <w:szCs w:val="28"/>
          <w:rtl/>
          <w:lang w:bidi="ar-JO"/>
        </w:rPr>
      </w:pPr>
      <w:r w:rsidRPr="00CE3B76">
        <w:rPr>
          <w:rFonts w:asciiTheme="majorBidi" w:hAnsiTheme="majorBidi" w:cstheme="majorBidi"/>
          <w:i/>
          <w:iCs/>
          <w:sz w:val="28"/>
          <w:szCs w:val="28"/>
          <w:lang w:bidi="ar-JO"/>
        </w:rPr>
        <w:t xml:space="preserve">Systemic side effects are worse </w:t>
      </w:r>
    </w:p>
    <w:p w:rsidR="00C21883" w:rsidRPr="00EB3968" w:rsidRDefault="00C21883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However generalized are cheaper and less follow ups and better in generalized conditions </w:t>
      </w:r>
    </w:p>
    <w:p w:rsidR="00C21883" w:rsidRPr="00EB3968" w:rsidRDefault="00C21883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Localized however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has higher concentration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in the targeted 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tissue</w:t>
      </w:r>
      <w:r w:rsidR="00CE3B76">
        <w:rPr>
          <w:rFonts w:asciiTheme="majorBidi" w:hAnsiTheme="majorBidi" w:cstheme="majorBidi"/>
          <w:sz w:val="28"/>
          <w:szCs w:val="28"/>
          <w:lang w:bidi="ar-JO"/>
        </w:rPr>
        <w:t xml:space="preserve"> (better)</w:t>
      </w:r>
      <w:r w:rsidR="0023468C" w:rsidRPr="00EB3968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so it’s a matter of balance </w:t>
      </w:r>
    </w:p>
    <w:p w:rsidR="00CB7F6A" w:rsidRDefault="00C21883" w:rsidP="007B6F43">
      <w:pPr>
        <w:pStyle w:val="Heading1"/>
        <w:bidi w:val="0"/>
        <w:ind w:right="-483"/>
        <w:rPr>
          <w:lang w:val="en-IE" w:bidi="ar-JO"/>
        </w:rPr>
      </w:pPr>
      <w:r w:rsidRPr="00EB3968">
        <w:rPr>
          <w:lang w:bidi="ar-JO"/>
        </w:rPr>
        <w:t xml:space="preserve">Now </w:t>
      </w:r>
      <w:r w:rsidR="0023468C" w:rsidRPr="00EB3968">
        <w:rPr>
          <w:lang w:bidi="ar-JO"/>
        </w:rPr>
        <w:t>let's</w:t>
      </w:r>
      <w:r w:rsidRPr="00EB3968">
        <w:rPr>
          <w:lang w:bidi="ar-JO"/>
        </w:rPr>
        <w:t xml:space="preserve"> talk about </w:t>
      </w:r>
      <w:r w:rsidRPr="00EB3968">
        <w:rPr>
          <w:lang w:val="en-IE" w:bidi="ar-JO"/>
        </w:rPr>
        <w:t>Host Modulation Therapy (HMT)</w:t>
      </w:r>
    </w:p>
    <w:p w:rsidR="0023468C" w:rsidRPr="0023468C" w:rsidRDefault="0023468C" w:rsidP="007B6F43">
      <w:pPr>
        <w:bidi w:val="0"/>
        <w:ind w:right="-483"/>
        <w:rPr>
          <w:rtl/>
          <w:lang w:val="en-IE" w:bidi="ar-JO"/>
        </w:rPr>
      </w:pPr>
    </w:p>
    <w:p w:rsidR="00C21883" w:rsidRPr="00EB3968" w:rsidRDefault="00C21883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val="en-IE" w:bidi="ar-JO"/>
        </w:rPr>
      </w:pP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lastRenderedPageBreak/>
        <w:t xml:space="preserve">Diseases are driven by </w:t>
      </w:r>
      <w:r w:rsidR="0023468C" w:rsidRPr="00EB3968">
        <w:rPr>
          <w:rFonts w:asciiTheme="majorBidi" w:hAnsiTheme="majorBidi" w:cstheme="majorBidi"/>
          <w:sz w:val="28"/>
          <w:szCs w:val="28"/>
          <w:lang w:val="en-IE" w:bidi="ar-JO"/>
        </w:rPr>
        <w:t>both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the bacteria and the </w:t>
      </w:r>
      <w:r w:rsidR="0023468C" w:rsidRPr="00EB3968">
        <w:rPr>
          <w:rFonts w:asciiTheme="majorBidi" w:hAnsiTheme="majorBidi" w:cstheme="majorBidi"/>
          <w:sz w:val="28"/>
          <w:szCs w:val="28"/>
          <w:lang w:val="en-IE" w:bidi="ar-JO"/>
        </w:rPr>
        <w:t>body,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so why don’t we manipulate the </w:t>
      </w:r>
      <w:r w:rsidR="0023468C" w:rsidRPr="00EB3968">
        <w:rPr>
          <w:rFonts w:asciiTheme="majorBidi" w:hAnsiTheme="majorBidi" w:cstheme="majorBidi"/>
          <w:sz w:val="28"/>
          <w:szCs w:val="28"/>
          <w:lang w:val="en-IE" w:bidi="ar-JO"/>
        </w:rPr>
        <w:t>body?</w:t>
      </w:r>
    </w:p>
    <w:p w:rsidR="00C21883" w:rsidRPr="00EB3968" w:rsidRDefault="00C21883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val="en-IE" w:bidi="ar-JO"/>
        </w:rPr>
      </w:pP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The concept behind this is to try to control the </w:t>
      </w:r>
      <w:r w:rsidR="0023468C" w:rsidRPr="00EB3968">
        <w:rPr>
          <w:rFonts w:asciiTheme="majorBidi" w:hAnsiTheme="majorBidi" w:cstheme="majorBidi"/>
          <w:sz w:val="28"/>
          <w:szCs w:val="28"/>
          <w:lang w:val="en-IE" w:bidi="ar-JO"/>
        </w:rPr>
        <w:t>defence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</w:t>
      </w:r>
      <w:r w:rsidR="0023468C" w:rsidRPr="00EB3968">
        <w:rPr>
          <w:rFonts w:asciiTheme="majorBidi" w:hAnsiTheme="majorBidi" w:cstheme="majorBidi"/>
          <w:sz w:val="28"/>
          <w:szCs w:val="28"/>
          <w:lang w:val="en-IE" w:bidi="ar-JO"/>
        </w:rPr>
        <w:t>mechanism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</w:t>
      </w:r>
      <w:r w:rsidR="00CE3B76">
        <w:rPr>
          <w:rFonts w:asciiTheme="majorBidi" w:hAnsiTheme="majorBidi" w:cstheme="majorBidi"/>
          <w:sz w:val="28"/>
          <w:szCs w:val="28"/>
          <w:lang w:val="en-IE" w:bidi="ar-JO"/>
        </w:rPr>
        <w:t>of the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b</w:t>
      </w:r>
      <w:r w:rsidR="00CE3B76">
        <w:rPr>
          <w:rFonts w:asciiTheme="majorBidi" w:hAnsiTheme="majorBidi" w:cstheme="majorBidi"/>
          <w:sz w:val="28"/>
          <w:szCs w:val="28"/>
          <w:lang w:val="en-IE" w:bidi="ar-JO"/>
        </w:rPr>
        <w:t>ody.</w:t>
      </w:r>
    </w:p>
    <w:p w:rsidR="00CB7F6A" w:rsidRPr="00EB3968" w:rsidRDefault="00CB7F6A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val="en-IE" w:bidi="ar-JO"/>
        </w:rPr>
      </w:pP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For instance we know that </w:t>
      </w:r>
      <w:r w:rsidR="00A5543F" w:rsidRPr="00EB3968">
        <w:rPr>
          <w:rFonts w:asciiTheme="majorBidi" w:hAnsiTheme="majorBidi" w:cstheme="majorBidi"/>
          <w:sz w:val="28"/>
          <w:szCs w:val="28"/>
          <w:lang w:val="en-IE" w:bidi="ar-JO"/>
        </w:rPr>
        <w:t>prostaglandins,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</w:t>
      </w:r>
      <w:r w:rsidR="00A5543F" w:rsidRPr="00EB3968">
        <w:rPr>
          <w:rFonts w:asciiTheme="majorBidi" w:hAnsiTheme="majorBidi" w:cstheme="majorBidi"/>
          <w:sz w:val="28"/>
          <w:szCs w:val="28"/>
          <w:lang w:val="en-IE" w:bidi="ar-JO"/>
        </w:rPr>
        <w:t>interleukins...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etc control inflammation and the drugs that inhibit it such as </w:t>
      </w:r>
      <w:proofErr w:type="spellStart"/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>ibuprophen</w:t>
      </w:r>
      <w:proofErr w:type="spellEnd"/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cause peptic ulcer so you can</w:t>
      </w:r>
      <w:r w:rsidR="00CE3B76">
        <w:rPr>
          <w:rFonts w:asciiTheme="majorBidi" w:hAnsiTheme="majorBidi" w:cstheme="majorBidi"/>
          <w:sz w:val="28"/>
          <w:szCs w:val="28"/>
          <w:lang w:val="en-IE" w:bidi="ar-JO"/>
        </w:rPr>
        <w:t>’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>t use the drug all the time to control the inflammation cascade.</w:t>
      </w:r>
    </w:p>
    <w:p w:rsidR="00CB7F6A" w:rsidRPr="00EB3968" w:rsidRDefault="00CB7F6A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val="en-IE" w:bidi="ar-JO"/>
        </w:rPr>
      </w:pP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Bisphosphonate for instance stays in the bone for a long time and reduce osteoclast </w:t>
      </w:r>
      <w:r w:rsidR="00A5543F" w:rsidRPr="00EB3968">
        <w:rPr>
          <w:rFonts w:asciiTheme="majorBidi" w:hAnsiTheme="majorBidi" w:cstheme="majorBidi"/>
          <w:sz w:val="28"/>
          <w:szCs w:val="28"/>
          <w:lang w:val="en-IE" w:bidi="ar-JO"/>
        </w:rPr>
        <w:t>(this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drug is given for </w:t>
      </w:r>
      <w:r w:rsidR="00A5543F" w:rsidRPr="00EB3968">
        <w:rPr>
          <w:rFonts w:asciiTheme="majorBidi" w:hAnsiTheme="majorBidi" w:cstheme="majorBidi"/>
          <w:sz w:val="28"/>
          <w:szCs w:val="28"/>
          <w:lang w:val="en-IE" w:bidi="ar-JO"/>
        </w:rPr>
        <w:t>osteoporosis)</w:t>
      </w:r>
      <w:r w:rsidR="00AF23CB"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</w:t>
      </w:r>
    </w:p>
    <w:p w:rsidR="00FC7DF8" w:rsidRPr="00EB3968" w:rsidRDefault="00CB7F6A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val="en-IE" w:bidi="ar-JO"/>
        </w:rPr>
      </w:pP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They discovered that tetracycline inhibits osteoclast </w:t>
      </w:r>
      <w:r w:rsidR="00AF23CB"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but the problem is you </w:t>
      </w:r>
      <w:r w:rsidR="00A5543F" w:rsidRPr="00EB3968">
        <w:rPr>
          <w:rFonts w:asciiTheme="majorBidi" w:hAnsiTheme="majorBidi" w:cstheme="majorBidi"/>
          <w:sz w:val="28"/>
          <w:szCs w:val="28"/>
          <w:lang w:val="en-IE" w:bidi="ar-JO"/>
        </w:rPr>
        <w:t>can't</w:t>
      </w:r>
      <w:r w:rsidR="00AF23CB"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give an antibiotic for a life </w:t>
      </w:r>
      <w:r w:rsidR="00A5543F" w:rsidRPr="00EB3968">
        <w:rPr>
          <w:rFonts w:asciiTheme="majorBidi" w:hAnsiTheme="majorBidi" w:cstheme="majorBidi"/>
          <w:sz w:val="28"/>
          <w:szCs w:val="28"/>
          <w:lang w:val="en-IE" w:bidi="ar-JO"/>
        </w:rPr>
        <w:t>time,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so they made a drug </w:t>
      </w:r>
      <w:r w:rsidR="00A5543F" w:rsidRPr="00EB3968">
        <w:rPr>
          <w:rFonts w:asciiTheme="majorBidi" w:hAnsiTheme="majorBidi" w:cstheme="majorBidi"/>
          <w:sz w:val="28"/>
          <w:szCs w:val="28"/>
          <w:lang w:val="en-IE" w:bidi="ar-JO"/>
        </w:rPr>
        <w:t>called sub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antimicrobial </w:t>
      </w:r>
      <w:proofErr w:type="spellStart"/>
      <w:r w:rsidR="005F67B5">
        <w:rPr>
          <w:rFonts w:asciiTheme="majorBidi" w:hAnsiTheme="majorBidi" w:cstheme="majorBidi"/>
          <w:sz w:val="28"/>
          <w:szCs w:val="28"/>
          <w:lang w:val="en-IE" w:bidi="ar-JO"/>
        </w:rPr>
        <w:t>doxycyc</w:t>
      </w:r>
      <w:r w:rsidR="00A5543F" w:rsidRPr="00EB3968">
        <w:rPr>
          <w:rFonts w:asciiTheme="majorBidi" w:hAnsiTheme="majorBidi" w:cstheme="majorBidi"/>
          <w:sz w:val="28"/>
          <w:szCs w:val="28"/>
          <w:lang w:val="en-IE" w:bidi="ar-JO"/>
        </w:rPr>
        <w:t>line</w:t>
      </w:r>
      <w:proofErr w:type="spellEnd"/>
      <w:r w:rsidR="00A5543F" w:rsidRPr="00EB3968">
        <w:rPr>
          <w:rFonts w:asciiTheme="majorBidi" w:hAnsiTheme="majorBidi" w:cstheme="majorBidi"/>
          <w:sz w:val="28"/>
          <w:szCs w:val="28"/>
          <w:lang w:val="en-IE" w:bidi="ar-JO"/>
        </w:rPr>
        <w:t>, it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doesn’t have any antimicrobial effect it just </w:t>
      </w:r>
      <w:r w:rsidR="00FC7DF8" w:rsidRPr="00EB3968">
        <w:rPr>
          <w:rFonts w:asciiTheme="majorBidi" w:hAnsiTheme="majorBidi" w:cstheme="majorBidi"/>
          <w:sz w:val="28"/>
          <w:szCs w:val="28"/>
          <w:lang w:val="en-IE" w:bidi="ar-JO"/>
        </w:rPr>
        <w:t>down regulate</w:t>
      </w: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>s MMP</w:t>
      </w:r>
      <w:r w:rsidR="00AF23CB"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s </w:t>
      </w:r>
    </w:p>
    <w:p w:rsidR="00CB7F6A" w:rsidRPr="00EB3968" w:rsidRDefault="00FC7DF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val="en-IE" w:bidi="ar-JO"/>
        </w:rPr>
      </w:pPr>
      <w:r w:rsidRPr="00EB3968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5044656" cy="2544792"/>
            <wp:effectExtent l="19050" t="0" r="3594" b="0"/>
            <wp:docPr id="13" name="صورة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974" cy="25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B7F6A" w:rsidRPr="00EB3968">
        <w:rPr>
          <w:rFonts w:asciiTheme="majorBidi" w:hAnsiTheme="majorBidi" w:cstheme="majorBidi"/>
          <w:sz w:val="28"/>
          <w:szCs w:val="28"/>
          <w:lang w:val="en-IE" w:bidi="ar-JO"/>
        </w:rPr>
        <w:softHyphen/>
      </w:r>
      <w:r w:rsidR="00CB7F6A" w:rsidRPr="00EB3968">
        <w:rPr>
          <w:rFonts w:asciiTheme="majorBidi" w:hAnsiTheme="majorBidi" w:cstheme="majorBidi"/>
          <w:sz w:val="28"/>
          <w:szCs w:val="28"/>
          <w:lang w:val="en-IE" w:bidi="ar-JO"/>
        </w:rPr>
        <w:softHyphen/>
      </w:r>
    </w:p>
    <w:p w:rsidR="00167182" w:rsidRPr="00EB3968" w:rsidRDefault="00C21883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</w:t>
      </w:r>
      <w:r w:rsidR="00167182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264185" w:rsidRPr="00EB3968" w:rsidRDefault="00FC7DF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Orthodontics can aid in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perio,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for instance in crowding teeth or tilted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molar,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if you upright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it,</w:t>
      </w:r>
      <w:r w:rsidR="00A5543F">
        <w:rPr>
          <w:rFonts w:asciiTheme="majorBidi" w:hAnsiTheme="majorBidi" w:cstheme="majorBidi"/>
          <w:sz w:val="28"/>
          <w:szCs w:val="28"/>
          <w:lang w:bidi="ar-JO"/>
        </w:rPr>
        <w:t xml:space="preserve"> it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will solve the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problem,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diastema also once closed will decrease the inflammation in the gingiva.</w:t>
      </w:r>
    </w:p>
    <w:p w:rsidR="00FC7DF8" w:rsidRDefault="00A5543F" w:rsidP="007B6F43">
      <w:pPr>
        <w:pStyle w:val="Heading1"/>
        <w:bidi w:val="0"/>
        <w:ind w:right="-483"/>
        <w:rPr>
          <w:lang w:bidi="ar-JO"/>
        </w:rPr>
      </w:pPr>
      <w:r w:rsidRPr="00EB3968">
        <w:rPr>
          <w:lang w:bidi="ar-JO"/>
        </w:rPr>
        <w:t>Finally</w:t>
      </w:r>
      <w:r w:rsidR="005F67B5">
        <w:rPr>
          <w:lang w:bidi="ar-JO"/>
        </w:rPr>
        <w:t xml:space="preserve">, </w:t>
      </w:r>
      <w:r w:rsidRPr="00EB3968">
        <w:rPr>
          <w:lang w:bidi="ar-JO"/>
        </w:rPr>
        <w:t>reevaluation</w:t>
      </w:r>
      <w:r w:rsidR="00FC7DF8" w:rsidRPr="00EB3968">
        <w:rPr>
          <w:lang w:bidi="ar-JO"/>
        </w:rPr>
        <w:t xml:space="preserve"> </w:t>
      </w:r>
    </w:p>
    <w:p w:rsidR="0023468C" w:rsidRPr="0023468C" w:rsidRDefault="0023468C" w:rsidP="007B6F43">
      <w:pPr>
        <w:bidi w:val="0"/>
        <w:ind w:right="-483"/>
        <w:rPr>
          <w:lang w:bidi="ar-JO"/>
        </w:rPr>
      </w:pPr>
    </w:p>
    <w:p w:rsidR="00FC7DF8" w:rsidRPr="00EB3968" w:rsidRDefault="00FC7DF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This step is still part of the non surgical treatment </w:t>
      </w:r>
    </w:p>
    <w:p w:rsidR="00FC7DF8" w:rsidRPr="00EB3968" w:rsidRDefault="00FC7DF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We need to do this to see the effectiveness of our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treatment,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reevaluation is done after 3 months cause this is the time needed for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bone,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soft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tissue,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and socket complete healing </w:t>
      </w:r>
    </w:p>
    <w:p w:rsidR="00FC7DF8" w:rsidRPr="00EB3968" w:rsidRDefault="00FC7DF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You evaluate through measuring the pocket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depth,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recession,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inflammation,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furcation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and bleeding on probing so you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can't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measure a non fully healed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pocket,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cause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that will traumatize the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tissue,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that’s why you should wait for 3 months </w:t>
      </w:r>
    </w:p>
    <w:p w:rsidR="00FC7DF8" w:rsidRPr="00EB3968" w:rsidRDefault="00FC7DF8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Now if the results weren’t satisfactory you should consider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retreatment,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surgery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and even extraction </w:t>
      </w:r>
    </w:p>
    <w:p w:rsidR="001B3727" w:rsidRPr="00EB3968" w:rsidRDefault="001B3727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How does the tissue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heal?</w:t>
      </w:r>
    </w:p>
    <w:p w:rsidR="00B22996" w:rsidRPr="00EB3968" w:rsidRDefault="001B3727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The epithelium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regenerates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after you </w:t>
      </w:r>
      <w:r w:rsidR="00B22996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clean the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pocket,</w:t>
      </w:r>
      <w:r w:rsidR="00B22996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and healing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occurs mainly through</w:t>
      </w:r>
      <w:r w:rsidR="00B22996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the long junctional epithelium</w:t>
      </w:r>
    </w:p>
    <w:p w:rsidR="00E22825" w:rsidRPr="00EB3968" w:rsidRDefault="00B22996" w:rsidP="007B6F43">
      <w:pPr>
        <w:bidi w:val="0"/>
        <w:ind w:right="-48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Ideally since we lost the pdl , cementum , bone  and the epithelium we should restore all we lost ,so we put a barrier membrane (surgically ) that’s made of resorbable collagen on top of the root and we separate it from the epithelium above , now this barrier will give time for the other slow growing tissues to regenerate , this is called guided tissue </w:t>
      </w:r>
      <w:r w:rsidR="00A5543F" w:rsidRPr="00EB3968">
        <w:rPr>
          <w:rFonts w:asciiTheme="majorBidi" w:hAnsiTheme="majorBidi" w:cstheme="majorBidi"/>
          <w:sz w:val="28"/>
          <w:szCs w:val="28"/>
          <w:lang w:bidi="ar-JO"/>
        </w:rPr>
        <w:t>regeneration</w:t>
      </w: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we will take it in details in fifth year , but mainly we should know that in non surgical treatment healing is mainly through the long junctional epithelium </w:t>
      </w:r>
    </w:p>
    <w:p w:rsidR="00E22825" w:rsidRPr="00EB3968" w:rsidRDefault="00E2282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So in re evaluation we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see :</w:t>
      </w:r>
      <w:proofErr w:type="gramEnd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E22825" w:rsidRPr="00EB3968" w:rsidRDefault="00E2282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Less plaque </w:t>
      </w:r>
    </w:p>
    <w:p w:rsidR="00E22825" w:rsidRPr="00EB3968" w:rsidRDefault="00E2282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Less pocket depth </w:t>
      </w:r>
    </w:p>
    <w:p w:rsidR="00E22825" w:rsidRPr="00EB3968" w:rsidRDefault="00E2282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Bleeding is less </w:t>
      </w:r>
    </w:p>
    <w:p w:rsidR="00E22825" w:rsidRPr="00EB3968" w:rsidRDefault="00E2282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When to refer your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>case ?</w:t>
      </w:r>
      <w:proofErr w:type="gramEnd"/>
    </w:p>
    <w:p w:rsidR="007B6F43" w:rsidRPr="005F67B5" w:rsidRDefault="00E22825" w:rsidP="007B6F43">
      <w:pPr>
        <w:bidi w:val="0"/>
        <w:ind w:right="-483"/>
        <w:rPr>
          <w:rFonts w:asciiTheme="majorBidi" w:hAnsiTheme="majorBidi" w:cstheme="majorBidi"/>
          <w:sz w:val="28"/>
          <w:szCs w:val="28"/>
          <w:lang w:val="en-IE" w:bidi="ar-JO"/>
        </w:rPr>
      </w:pPr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More than 5 mm pocket </w:t>
      </w:r>
      <w:proofErr w:type="gramStart"/>
      <w:r w:rsidRPr="00EB3968">
        <w:rPr>
          <w:rFonts w:asciiTheme="majorBidi" w:hAnsiTheme="majorBidi" w:cstheme="majorBidi"/>
          <w:sz w:val="28"/>
          <w:szCs w:val="28"/>
          <w:lang w:bidi="ar-JO"/>
        </w:rPr>
        <w:t xml:space="preserve">( </w:t>
      </w:r>
      <w:r w:rsidR="00EB3968" w:rsidRPr="00EB3968">
        <w:rPr>
          <w:rFonts w:asciiTheme="majorBidi" w:hAnsiTheme="majorBidi" w:cstheme="majorBidi"/>
          <w:sz w:val="28"/>
          <w:szCs w:val="28"/>
          <w:lang w:bidi="ar-JO"/>
        </w:rPr>
        <w:t>cause</w:t>
      </w:r>
      <w:proofErr w:type="gramEnd"/>
      <w:r w:rsidR="00EB3968" w:rsidRPr="00EB3968">
        <w:rPr>
          <w:rFonts w:asciiTheme="majorBidi" w:hAnsiTheme="majorBidi" w:cstheme="majorBidi"/>
          <w:sz w:val="28"/>
          <w:szCs w:val="28"/>
          <w:lang w:bidi="ar-JO"/>
        </w:rPr>
        <w:t xml:space="preserve"> when a pocket is that deep it means </w:t>
      </w:r>
      <w:r w:rsidR="00EB3968"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</w:t>
      </w:r>
      <w:r w:rsidR="00EB3968" w:rsidRPr="00EB3968">
        <w:rPr>
          <w:rFonts w:asciiTheme="majorBidi" w:hAnsiTheme="majorBidi" w:cstheme="majorBidi"/>
          <w:i/>
          <w:iCs/>
          <w:sz w:val="28"/>
          <w:szCs w:val="28"/>
          <w:lang w:val="en-IE" w:bidi="ar-JO"/>
        </w:rPr>
        <w:t>the</w:t>
      </w:r>
      <w:r w:rsidR="00EB3968" w:rsidRPr="00EB3968">
        <w:rPr>
          <w:rFonts w:asciiTheme="majorBidi" w:hAnsiTheme="majorBidi" w:cstheme="majorBidi"/>
          <w:sz w:val="28"/>
          <w:szCs w:val="28"/>
          <w:lang w:val="en-IE" w:bidi="ar-JO"/>
        </w:rPr>
        <w:t xml:space="preserve"> crest of bone is about 7 mm apical to the cementoenamel junction, therefore only about half the bony </w:t>
      </w:r>
      <w:r w:rsidR="005F67B5">
        <w:rPr>
          <w:rFonts w:asciiTheme="majorBidi" w:hAnsiTheme="majorBidi" w:cstheme="majorBidi"/>
          <w:sz w:val="28"/>
          <w:szCs w:val="28"/>
          <w:lang w:val="en-IE" w:bidi="ar-JO"/>
        </w:rPr>
        <w:t>support for the tooth remains.</w:t>
      </w:r>
    </w:p>
    <w:sectPr w:rsidR="007B6F43" w:rsidRPr="005F67B5" w:rsidSect="001254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644"/>
    <w:multiLevelType w:val="hybridMultilevel"/>
    <w:tmpl w:val="35987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2CD"/>
    <w:multiLevelType w:val="hybridMultilevel"/>
    <w:tmpl w:val="44027B2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2DAF49C3"/>
    <w:multiLevelType w:val="hybridMultilevel"/>
    <w:tmpl w:val="0A8A9FB6"/>
    <w:lvl w:ilvl="0" w:tplc="C8B67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971BB"/>
    <w:multiLevelType w:val="hybridMultilevel"/>
    <w:tmpl w:val="E9F4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A165C"/>
    <w:multiLevelType w:val="hybridMultilevel"/>
    <w:tmpl w:val="4024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51097"/>
    <w:multiLevelType w:val="hybridMultilevel"/>
    <w:tmpl w:val="4024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E1D6B"/>
    <w:multiLevelType w:val="hybridMultilevel"/>
    <w:tmpl w:val="57221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E3537"/>
    <w:multiLevelType w:val="hybridMultilevel"/>
    <w:tmpl w:val="F2927D10"/>
    <w:lvl w:ilvl="0" w:tplc="E56CE29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34DB"/>
    <w:rsid w:val="000011E5"/>
    <w:rsid w:val="00084621"/>
    <w:rsid w:val="00113509"/>
    <w:rsid w:val="0012549D"/>
    <w:rsid w:val="00167182"/>
    <w:rsid w:val="001B3727"/>
    <w:rsid w:val="0023468C"/>
    <w:rsid w:val="00264185"/>
    <w:rsid w:val="004434DB"/>
    <w:rsid w:val="005F67B5"/>
    <w:rsid w:val="007B41AE"/>
    <w:rsid w:val="007B6F43"/>
    <w:rsid w:val="00832528"/>
    <w:rsid w:val="008F7E68"/>
    <w:rsid w:val="00A5543F"/>
    <w:rsid w:val="00AF0A3B"/>
    <w:rsid w:val="00AF23CB"/>
    <w:rsid w:val="00B22996"/>
    <w:rsid w:val="00B42955"/>
    <w:rsid w:val="00BD6E89"/>
    <w:rsid w:val="00C21883"/>
    <w:rsid w:val="00CB7F6A"/>
    <w:rsid w:val="00CE3B76"/>
    <w:rsid w:val="00D5130A"/>
    <w:rsid w:val="00DB6939"/>
    <w:rsid w:val="00E138D4"/>
    <w:rsid w:val="00E22825"/>
    <w:rsid w:val="00E761A7"/>
    <w:rsid w:val="00EB3968"/>
    <w:rsid w:val="00FC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0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B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34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43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xpertconsultbook.com/expertconsult/b/linkTo?type=bookPage&amp;isbn=978-1-4377-0416-7&amp;eid=4-u1.0-B978-1-4377-0416-7..00047-0--tn0025&amp;appID=N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7123-465C-4EFD-AF4F-EBB954CF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1156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2016-03-11T12:14:00Z</dcterms:created>
  <dcterms:modified xsi:type="dcterms:W3CDTF">2016-03-11T17:06:00Z</dcterms:modified>
</cp:coreProperties>
</file>